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51" w:rsidRDefault="008E5851">
      <w:pPr>
        <w:pStyle w:val="ConsPlusTitlePage"/>
      </w:pPr>
      <w:r>
        <w:t xml:space="preserve">Документ предоставлен </w:t>
      </w:r>
      <w:hyperlink r:id="rId5" w:history="1">
        <w:r>
          <w:rPr>
            <w:color w:val="0000FF"/>
          </w:rPr>
          <w:t>КонсультантПлюс</w:t>
        </w:r>
      </w:hyperlink>
      <w:r>
        <w:br/>
      </w:r>
    </w:p>
    <w:p w:rsidR="008E5851" w:rsidRDefault="008E5851">
      <w:pPr>
        <w:pStyle w:val="ConsPlusNormal"/>
        <w:jc w:val="center"/>
        <w:outlineLvl w:val="0"/>
      </w:pPr>
    </w:p>
    <w:p w:rsidR="008E5851" w:rsidRDefault="008E5851">
      <w:pPr>
        <w:pStyle w:val="ConsPlusTitle"/>
        <w:jc w:val="center"/>
        <w:outlineLvl w:val="0"/>
      </w:pPr>
      <w:r>
        <w:t>РОССИЙСКАЯ ФЕДЕРАЦИЯ</w:t>
      </w:r>
    </w:p>
    <w:p w:rsidR="008E5851" w:rsidRDefault="008E5851">
      <w:pPr>
        <w:pStyle w:val="ConsPlusTitle"/>
        <w:jc w:val="center"/>
      </w:pPr>
      <w:r>
        <w:t>ПРАВИТЕЛЬСТВО КАЛИНИНГРАДСКОЙ ОБЛАСТИ</w:t>
      </w:r>
    </w:p>
    <w:p w:rsidR="008E5851" w:rsidRDefault="008E5851">
      <w:pPr>
        <w:pStyle w:val="ConsPlusTitle"/>
        <w:jc w:val="center"/>
      </w:pPr>
    </w:p>
    <w:p w:rsidR="008E5851" w:rsidRDefault="008E5851">
      <w:pPr>
        <w:pStyle w:val="ConsPlusTitle"/>
        <w:jc w:val="center"/>
      </w:pPr>
      <w:r>
        <w:t>ПОСТАНОВЛЕНИЕ</w:t>
      </w:r>
    </w:p>
    <w:p w:rsidR="008E5851" w:rsidRDefault="008E5851">
      <w:pPr>
        <w:pStyle w:val="ConsPlusTitle"/>
        <w:jc w:val="center"/>
      </w:pPr>
      <w:r>
        <w:t>от 1 июля 2016 г. N 330</w:t>
      </w:r>
    </w:p>
    <w:p w:rsidR="008E5851" w:rsidRDefault="008E5851">
      <w:pPr>
        <w:pStyle w:val="ConsPlusTitle"/>
        <w:jc w:val="center"/>
      </w:pPr>
    </w:p>
    <w:p w:rsidR="008E5851" w:rsidRDefault="008E5851">
      <w:pPr>
        <w:pStyle w:val="ConsPlusTitle"/>
        <w:jc w:val="center"/>
      </w:pPr>
      <w:r>
        <w:t>О порядке определения вида фактического использования</w:t>
      </w:r>
    </w:p>
    <w:p w:rsidR="008E5851" w:rsidRDefault="008E5851">
      <w:pPr>
        <w:pStyle w:val="ConsPlusTitle"/>
        <w:jc w:val="center"/>
      </w:pPr>
      <w:r>
        <w:t>зданий (строений, сооружений) и помещений, расположенных</w:t>
      </w:r>
    </w:p>
    <w:p w:rsidR="008E5851" w:rsidRDefault="008E5851">
      <w:pPr>
        <w:pStyle w:val="ConsPlusTitle"/>
        <w:jc w:val="center"/>
      </w:pPr>
      <w:r>
        <w:t>на территории Калининградской области,</w:t>
      </w:r>
    </w:p>
    <w:p w:rsidR="008E5851" w:rsidRDefault="008E5851">
      <w:pPr>
        <w:pStyle w:val="ConsPlusTitle"/>
        <w:jc w:val="center"/>
      </w:pPr>
      <w:r>
        <w:t>для целей налогообложения</w:t>
      </w:r>
    </w:p>
    <w:p w:rsidR="008E5851" w:rsidRDefault="008E5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E5851">
        <w:trPr>
          <w:jc w:val="center"/>
        </w:trPr>
        <w:tc>
          <w:tcPr>
            <w:tcW w:w="9294" w:type="dxa"/>
            <w:tcBorders>
              <w:top w:val="nil"/>
              <w:left w:val="single" w:sz="24" w:space="0" w:color="CED3F1"/>
              <w:bottom w:val="nil"/>
              <w:right w:val="single" w:sz="24" w:space="0" w:color="F4F3F8"/>
            </w:tcBorders>
            <w:shd w:val="clear" w:color="auto" w:fill="F4F3F8"/>
          </w:tcPr>
          <w:p w:rsidR="008E5851" w:rsidRDefault="008E5851">
            <w:pPr>
              <w:pStyle w:val="ConsPlusNormal"/>
              <w:jc w:val="center"/>
            </w:pPr>
            <w:r>
              <w:rPr>
                <w:color w:val="392C69"/>
              </w:rPr>
              <w:t>Список изменяющих документов</w:t>
            </w:r>
          </w:p>
          <w:p w:rsidR="008E5851" w:rsidRDefault="008E5851">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Калининградской области</w:t>
            </w:r>
          </w:p>
          <w:p w:rsidR="008E5851" w:rsidRDefault="008E5851">
            <w:pPr>
              <w:pStyle w:val="ConsPlusNormal"/>
              <w:jc w:val="center"/>
            </w:pPr>
            <w:r>
              <w:rPr>
                <w:color w:val="392C69"/>
              </w:rPr>
              <w:t>от 19.04.2018 N 233)</w:t>
            </w:r>
          </w:p>
        </w:tc>
      </w:tr>
    </w:tbl>
    <w:p w:rsidR="008E5851" w:rsidRDefault="008E5851">
      <w:pPr>
        <w:pStyle w:val="ConsPlusNormal"/>
      </w:pPr>
    </w:p>
    <w:p w:rsidR="008E5851" w:rsidRDefault="008E5851">
      <w:pPr>
        <w:pStyle w:val="ConsPlusNormal"/>
        <w:ind w:firstLine="540"/>
        <w:jc w:val="both"/>
      </w:pPr>
      <w:r>
        <w:t xml:space="preserve">В соответствии со </w:t>
      </w:r>
      <w:hyperlink r:id="rId7" w:history="1">
        <w:r>
          <w:rPr>
            <w:color w:val="0000FF"/>
          </w:rPr>
          <w:t>статьей 378.2</w:t>
        </w:r>
      </w:hyperlink>
      <w:r>
        <w:t xml:space="preserve"> Налогового кодекса Российской Федерации и </w:t>
      </w:r>
      <w:hyperlink r:id="rId8" w:history="1">
        <w:r>
          <w:rPr>
            <w:color w:val="0000FF"/>
          </w:rPr>
          <w:t>статьей 1.2</w:t>
        </w:r>
      </w:hyperlink>
      <w:r>
        <w:t xml:space="preserve"> Закона Калининградской области от 27 ноября 2003 года N 336 "О налоге на имущество организаций" Правительство Калининградской области</w:t>
      </w:r>
    </w:p>
    <w:p w:rsidR="008E5851" w:rsidRDefault="008E5851">
      <w:pPr>
        <w:pStyle w:val="ConsPlusNormal"/>
        <w:jc w:val="both"/>
      </w:pPr>
      <w:r>
        <w:t xml:space="preserve">(преамбула в ред. </w:t>
      </w:r>
      <w:hyperlink r:id="rId9"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ind w:firstLine="540"/>
        <w:jc w:val="both"/>
      </w:pPr>
    </w:p>
    <w:p w:rsidR="008E5851" w:rsidRDefault="008E5851">
      <w:pPr>
        <w:pStyle w:val="ConsPlusNormal"/>
        <w:jc w:val="center"/>
      </w:pPr>
      <w:r>
        <w:t>ПОСТАНОВЛЯЕТ:</w:t>
      </w:r>
    </w:p>
    <w:p w:rsidR="008E5851" w:rsidRDefault="008E5851">
      <w:pPr>
        <w:pStyle w:val="ConsPlusNormal"/>
        <w:ind w:firstLine="540"/>
        <w:jc w:val="both"/>
      </w:pPr>
    </w:p>
    <w:p w:rsidR="008E5851" w:rsidRDefault="008E5851">
      <w:pPr>
        <w:pStyle w:val="ConsPlusNormal"/>
        <w:ind w:firstLine="540"/>
        <w:jc w:val="both"/>
      </w:pPr>
      <w:r>
        <w:t xml:space="preserve">1. Установить </w:t>
      </w:r>
      <w:hyperlink w:anchor="P39" w:history="1">
        <w:r>
          <w:rPr>
            <w:color w:val="0000FF"/>
          </w:rPr>
          <w:t>порядок</w:t>
        </w:r>
      </w:hyperlink>
      <w:r>
        <w:t xml:space="preserve"> определения вида фактического использования зданий (строений, сооружений) и помещений, расположенных на территории Калининградской области, для целей налогообложения.</w:t>
      </w:r>
    </w:p>
    <w:p w:rsidR="008E5851" w:rsidRDefault="008E5851">
      <w:pPr>
        <w:pStyle w:val="ConsPlusNormal"/>
        <w:spacing w:before="220"/>
        <w:ind w:firstLine="540"/>
        <w:jc w:val="both"/>
      </w:pPr>
      <w:r>
        <w:t>2. Определить Министерство по промышленной политике, развитию предпринимательства и торговли Калининградской области уполномоченным органом исполнительной власти Калининградской области по определению вида фактического использования зданий (строений, сооружений) и помещений, расположенных на территории Калининградской области, для целей налогообложения.</w:t>
      </w:r>
    </w:p>
    <w:p w:rsidR="008E5851" w:rsidRDefault="008E5851">
      <w:pPr>
        <w:pStyle w:val="ConsPlusNormal"/>
        <w:spacing w:before="220"/>
        <w:ind w:firstLine="540"/>
        <w:jc w:val="both"/>
      </w:pPr>
      <w:r>
        <w:t>3. Постановление вступает в силу со дня подписания и подлежит официальному опубликованию.</w:t>
      </w:r>
    </w:p>
    <w:p w:rsidR="008E5851" w:rsidRDefault="008E5851">
      <w:pPr>
        <w:pStyle w:val="ConsPlusNormal"/>
        <w:jc w:val="both"/>
      </w:pPr>
      <w:r>
        <w:t xml:space="preserve">(п. 3 в ред. </w:t>
      </w:r>
      <w:hyperlink r:id="rId10"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pPr>
    </w:p>
    <w:p w:rsidR="008E5851" w:rsidRDefault="008E5851">
      <w:pPr>
        <w:pStyle w:val="ConsPlusNormal"/>
        <w:jc w:val="right"/>
      </w:pPr>
      <w:r>
        <w:t>Исполняющий обязанности</w:t>
      </w:r>
    </w:p>
    <w:p w:rsidR="008E5851" w:rsidRDefault="008E5851">
      <w:pPr>
        <w:pStyle w:val="ConsPlusNormal"/>
        <w:jc w:val="right"/>
      </w:pPr>
      <w:r>
        <w:t>Губернатора Калининградской области</w:t>
      </w:r>
    </w:p>
    <w:p w:rsidR="008E5851" w:rsidRDefault="008E5851">
      <w:pPr>
        <w:pStyle w:val="ConsPlusNormal"/>
        <w:jc w:val="right"/>
      </w:pPr>
      <w:r>
        <w:t>А.Н. Силанов</w:t>
      </w:r>
    </w:p>
    <w:p w:rsidR="008E5851" w:rsidRDefault="008E5851">
      <w:pPr>
        <w:pStyle w:val="ConsPlusNormal"/>
      </w:pPr>
    </w:p>
    <w:p w:rsidR="008E5851" w:rsidRDefault="008E5851">
      <w:pPr>
        <w:pStyle w:val="ConsPlusNormal"/>
      </w:pPr>
    </w:p>
    <w:p w:rsidR="008E5851" w:rsidRDefault="008E5851">
      <w:pPr>
        <w:pStyle w:val="ConsPlusNormal"/>
      </w:pPr>
    </w:p>
    <w:p w:rsidR="008E5851" w:rsidRDefault="008E5851">
      <w:pPr>
        <w:pStyle w:val="ConsPlusNormal"/>
      </w:pPr>
    </w:p>
    <w:p w:rsidR="008E5851" w:rsidRDefault="008E5851">
      <w:pPr>
        <w:pStyle w:val="ConsPlusNormal"/>
        <w:jc w:val="both"/>
      </w:pPr>
    </w:p>
    <w:p w:rsidR="008E5851" w:rsidRDefault="008E5851">
      <w:pPr>
        <w:pStyle w:val="ConsPlusNormal"/>
        <w:jc w:val="right"/>
        <w:outlineLvl w:val="0"/>
      </w:pPr>
      <w:r>
        <w:t>Приложение</w:t>
      </w:r>
    </w:p>
    <w:p w:rsidR="008E5851" w:rsidRDefault="008E5851">
      <w:pPr>
        <w:pStyle w:val="ConsPlusNormal"/>
        <w:jc w:val="right"/>
      </w:pPr>
      <w:r>
        <w:t>к постановлению</w:t>
      </w:r>
    </w:p>
    <w:p w:rsidR="008E5851" w:rsidRDefault="008E5851">
      <w:pPr>
        <w:pStyle w:val="ConsPlusNormal"/>
        <w:jc w:val="right"/>
      </w:pPr>
      <w:r>
        <w:t>Правительства</w:t>
      </w:r>
    </w:p>
    <w:p w:rsidR="008E5851" w:rsidRDefault="008E5851">
      <w:pPr>
        <w:pStyle w:val="ConsPlusNormal"/>
        <w:jc w:val="right"/>
      </w:pPr>
      <w:r>
        <w:t>Калининградской области</w:t>
      </w:r>
    </w:p>
    <w:p w:rsidR="008E5851" w:rsidRDefault="008E5851">
      <w:pPr>
        <w:pStyle w:val="ConsPlusNormal"/>
        <w:jc w:val="right"/>
      </w:pPr>
      <w:r>
        <w:t>от 1 июля 2016 г. N 330</w:t>
      </w:r>
    </w:p>
    <w:p w:rsidR="008E5851" w:rsidRDefault="008E5851">
      <w:pPr>
        <w:pStyle w:val="ConsPlusNormal"/>
      </w:pPr>
    </w:p>
    <w:p w:rsidR="008E5851" w:rsidRDefault="008E5851">
      <w:pPr>
        <w:pStyle w:val="ConsPlusTitle"/>
        <w:jc w:val="center"/>
      </w:pPr>
      <w:bookmarkStart w:id="0" w:name="P39"/>
      <w:bookmarkEnd w:id="0"/>
      <w:r>
        <w:lastRenderedPageBreak/>
        <w:t>ПОРЯДОК</w:t>
      </w:r>
    </w:p>
    <w:p w:rsidR="008E5851" w:rsidRDefault="008E5851">
      <w:pPr>
        <w:pStyle w:val="ConsPlusTitle"/>
        <w:jc w:val="center"/>
      </w:pPr>
      <w:r>
        <w:t>определения вида фактического использования зданий</w:t>
      </w:r>
    </w:p>
    <w:p w:rsidR="008E5851" w:rsidRDefault="008E5851">
      <w:pPr>
        <w:pStyle w:val="ConsPlusTitle"/>
        <w:jc w:val="center"/>
      </w:pPr>
      <w:r>
        <w:t>(строений, сооружений) и помещений, расположенных</w:t>
      </w:r>
    </w:p>
    <w:p w:rsidR="008E5851" w:rsidRDefault="008E5851">
      <w:pPr>
        <w:pStyle w:val="ConsPlusTitle"/>
        <w:jc w:val="center"/>
      </w:pPr>
      <w:r>
        <w:t>на территории Калининградской области,</w:t>
      </w:r>
    </w:p>
    <w:p w:rsidR="008E5851" w:rsidRDefault="008E5851">
      <w:pPr>
        <w:pStyle w:val="ConsPlusTitle"/>
        <w:jc w:val="center"/>
      </w:pPr>
      <w:r>
        <w:t>для целей налогообложения</w:t>
      </w:r>
    </w:p>
    <w:p w:rsidR="008E5851" w:rsidRDefault="008E5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E5851">
        <w:trPr>
          <w:jc w:val="center"/>
        </w:trPr>
        <w:tc>
          <w:tcPr>
            <w:tcW w:w="9294" w:type="dxa"/>
            <w:tcBorders>
              <w:top w:val="nil"/>
              <w:left w:val="single" w:sz="24" w:space="0" w:color="CED3F1"/>
              <w:bottom w:val="nil"/>
              <w:right w:val="single" w:sz="24" w:space="0" w:color="F4F3F8"/>
            </w:tcBorders>
            <w:shd w:val="clear" w:color="auto" w:fill="F4F3F8"/>
          </w:tcPr>
          <w:p w:rsidR="008E5851" w:rsidRDefault="008E5851">
            <w:pPr>
              <w:pStyle w:val="ConsPlusNormal"/>
              <w:jc w:val="center"/>
            </w:pPr>
            <w:r>
              <w:rPr>
                <w:color w:val="392C69"/>
              </w:rPr>
              <w:t>Список изменяющих документов</w:t>
            </w:r>
          </w:p>
          <w:p w:rsidR="008E5851" w:rsidRDefault="008E5851">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Калининградской области</w:t>
            </w:r>
          </w:p>
          <w:p w:rsidR="008E5851" w:rsidRDefault="008E5851">
            <w:pPr>
              <w:pStyle w:val="ConsPlusNormal"/>
              <w:jc w:val="center"/>
            </w:pPr>
            <w:r>
              <w:rPr>
                <w:color w:val="392C69"/>
              </w:rPr>
              <w:t>от 19.04.2018 N 233)</w:t>
            </w:r>
          </w:p>
        </w:tc>
      </w:tr>
    </w:tbl>
    <w:p w:rsidR="008E5851" w:rsidRDefault="008E5851">
      <w:pPr>
        <w:pStyle w:val="ConsPlusNormal"/>
      </w:pPr>
    </w:p>
    <w:p w:rsidR="008E5851" w:rsidRDefault="008E5851">
      <w:pPr>
        <w:pStyle w:val="ConsPlusNormal"/>
        <w:ind w:firstLine="540"/>
        <w:jc w:val="both"/>
      </w:pPr>
      <w:r>
        <w:t xml:space="preserve">1. Настоящий порядок регулирует вопросы осуществления мероприятий по определению вида фактического использования зданий (строений, сооружений) и помещений, расположенных на территории Калининградской области, в отношении которых в соответствии со </w:t>
      </w:r>
      <w:hyperlink r:id="rId12" w:history="1">
        <w:r>
          <w:rPr>
            <w:color w:val="0000FF"/>
          </w:rPr>
          <w:t>статьей 378.2</w:t>
        </w:r>
      </w:hyperlink>
      <w:r>
        <w:t xml:space="preserve"> Налогового кодекса Российской Федерации налоговая база определяется как кадастровая стоимость (далее - соответственно мероприятия по определению вида фактического использования, объекты нежилого фонда).</w:t>
      </w:r>
    </w:p>
    <w:p w:rsidR="008E5851" w:rsidRDefault="008E5851">
      <w:pPr>
        <w:pStyle w:val="ConsPlusNormal"/>
        <w:spacing w:before="220"/>
        <w:ind w:firstLine="540"/>
        <w:jc w:val="both"/>
      </w:pPr>
      <w:r>
        <w:t>2. Мероприятия по определению вида фактического использования осуществляются Министерством по промышленной политике, развитию предпринимательства и торговли Калининградской области (далее - уполномоченный орган).</w:t>
      </w:r>
    </w:p>
    <w:p w:rsidR="008E5851" w:rsidRDefault="008E5851">
      <w:pPr>
        <w:pStyle w:val="ConsPlusNormal"/>
        <w:spacing w:before="220"/>
        <w:ind w:firstLine="540"/>
        <w:jc w:val="both"/>
      </w:pPr>
      <w:r>
        <w:t xml:space="preserve">3. Налоговая база определяется с учетом особенностей, установленных </w:t>
      </w:r>
      <w:hyperlink r:id="rId13" w:history="1">
        <w:r>
          <w:rPr>
            <w:color w:val="0000FF"/>
          </w:rPr>
          <w:t>статьей 378.2</w:t>
        </w:r>
      </w:hyperlink>
      <w:r>
        <w:t xml:space="preserve"> Налогового кодекса Российской Федерации, в отношении следующих объектов нежилого фонда:</w:t>
      </w:r>
    </w:p>
    <w:p w:rsidR="008E5851" w:rsidRDefault="008E5851">
      <w:pPr>
        <w:pStyle w:val="ConsPlusNormal"/>
        <w:spacing w:before="220"/>
        <w:ind w:firstLine="540"/>
        <w:jc w:val="both"/>
      </w:pPr>
      <w:r>
        <w:t>1) административно-деловые центры и торговые центры (комплексы) и помещения в них;</w:t>
      </w:r>
    </w:p>
    <w:p w:rsidR="008E5851" w:rsidRDefault="008E5851">
      <w:pPr>
        <w:pStyle w:val="ConsPlusNormal"/>
        <w:spacing w:before="220"/>
        <w:ind w:firstLine="540"/>
        <w:jc w:val="both"/>
      </w:pPr>
      <w: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8E5851" w:rsidRDefault="008E5851">
      <w:pPr>
        <w:pStyle w:val="ConsPlusNormal"/>
        <w:jc w:val="both"/>
      </w:pPr>
      <w:r>
        <w:t xml:space="preserve">(в ред. </w:t>
      </w:r>
      <w:hyperlink r:id="rId14"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spacing w:before="220"/>
        <w:ind w:firstLine="540"/>
        <w:jc w:val="both"/>
      </w:pPr>
      <w:r>
        <w:t>4. В целях настоящего порядка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w:t>
      </w:r>
    </w:p>
    <w:p w:rsidR="008E5851" w:rsidRDefault="008E5851">
      <w:pPr>
        <w:pStyle w:val="ConsPlusNormal"/>
        <w:spacing w:before="220"/>
        <w:ind w:firstLine="540"/>
        <w:jc w:val="both"/>
      </w:pPr>
      <w:r>
        <w:t>1) здание (строение, сооружение) расположено на земельном участке, один из видов разрешенного использования которого предусматривает размещение офисных зданий делового, административного и коммерческого назначения;</w:t>
      </w:r>
    </w:p>
    <w:p w:rsidR="008E5851" w:rsidRDefault="008E5851">
      <w:pPr>
        <w:pStyle w:val="ConsPlusNormal"/>
        <w:spacing w:before="220"/>
        <w:ind w:firstLine="540"/>
        <w:jc w:val="both"/>
      </w:pPr>
      <w:r>
        <w:t>2)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w:t>
      </w:r>
    </w:p>
    <w:p w:rsidR="008E5851" w:rsidRDefault="008E5851">
      <w:pPr>
        <w:pStyle w:val="ConsPlusNormal"/>
        <w:spacing w:before="220"/>
        <w:ind w:firstLine="540"/>
        <w:jc w:val="both"/>
      </w:pPr>
      <w:r>
        <w:t>- 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w:t>
      </w:r>
    </w:p>
    <w:p w:rsidR="008E5851" w:rsidRDefault="008E5851">
      <w:pPr>
        <w:pStyle w:val="ConsPlusNormal"/>
        <w:jc w:val="both"/>
      </w:pPr>
      <w:r>
        <w:t xml:space="preserve">(в ред. </w:t>
      </w:r>
      <w:hyperlink r:id="rId15"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spacing w:before="220"/>
        <w:ind w:firstLine="540"/>
        <w:jc w:val="both"/>
      </w:pPr>
      <w:r>
        <w:lastRenderedPageBreak/>
        <w:t>- фактическим использованием здания (строения, сооружения) в целях делового,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w:t>
      </w:r>
    </w:p>
    <w:p w:rsidR="008E5851" w:rsidRDefault="008E5851">
      <w:pPr>
        <w:pStyle w:val="ConsPlusNormal"/>
        <w:spacing w:before="220"/>
        <w:ind w:firstLine="540"/>
        <w:jc w:val="both"/>
      </w:pPr>
      <w:r>
        <w:t>5. В целях настоящего порядка торговым центром (комплексом)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w:t>
      </w:r>
    </w:p>
    <w:p w:rsidR="008E5851" w:rsidRDefault="008E5851">
      <w:pPr>
        <w:pStyle w:val="ConsPlusNormal"/>
        <w:spacing w:before="220"/>
        <w:ind w:firstLine="540"/>
        <w:jc w:val="both"/>
      </w:pPr>
      <w:r>
        <w:t>1) 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w:t>
      </w:r>
    </w:p>
    <w:p w:rsidR="008E5851" w:rsidRDefault="008E5851">
      <w:pPr>
        <w:pStyle w:val="ConsPlusNormal"/>
        <w:spacing w:before="220"/>
        <w:ind w:firstLine="540"/>
        <w:jc w:val="both"/>
      </w:pPr>
      <w:r>
        <w:t>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rsidR="008E5851" w:rsidRDefault="008E5851">
      <w:pPr>
        <w:pStyle w:val="ConsPlusNormal"/>
        <w:spacing w:before="220"/>
        <w:ind w:firstLine="540"/>
        <w:jc w:val="both"/>
      </w:pPr>
      <w:r>
        <w:t>-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8E5851" w:rsidRDefault="008E5851">
      <w:pPr>
        <w:pStyle w:val="ConsPlusNormal"/>
        <w:jc w:val="both"/>
      </w:pPr>
      <w:r>
        <w:t xml:space="preserve">(в ред. </w:t>
      </w:r>
      <w:hyperlink r:id="rId16"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spacing w:before="220"/>
        <w:ind w:firstLine="540"/>
        <w:jc w:val="both"/>
      </w:pPr>
      <w:r>
        <w:t>- 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rsidR="008E5851" w:rsidRDefault="008E5851">
      <w:pPr>
        <w:pStyle w:val="ConsPlusNormal"/>
        <w:spacing w:before="220"/>
        <w:ind w:firstLine="540"/>
        <w:jc w:val="both"/>
      </w:pPr>
      <w:bookmarkStart w:id="1" w:name="P66"/>
      <w:bookmarkEnd w:id="1"/>
      <w:r>
        <w:t>6. В целях настоящего порядка отдельно стоящее нежилое здание (строение, сооружение), помещения в котором принадлежат одному или нескольким собственникам, признается одновременно как административно-деловой,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w:t>
      </w:r>
    </w:p>
    <w:p w:rsidR="008E5851" w:rsidRDefault="008E5851">
      <w:pPr>
        <w:pStyle w:val="ConsPlusNormal"/>
        <w:spacing w:before="220"/>
        <w:ind w:firstLine="540"/>
        <w:jc w:val="both"/>
      </w:pPr>
      <w:r>
        <w:t xml:space="preserve">7. В целях </w:t>
      </w:r>
      <w:hyperlink w:anchor="P66" w:history="1">
        <w:r>
          <w:rPr>
            <w:color w:val="0000FF"/>
          </w:rPr>
          <w:t>пункта 6</w:t>
        </w:r>
      </w:hyperlink>
      <w:r>
        <w:t xml:space="preserve"> настоящего порядка:</w:t>
      </w:r>
    </w:p>
    <w:p w:rsidR="008E5851" w:rsidRDefault="008E5851">
      <w:pPr>
        <w:pStyle w:val="ConsPlusNormal"/>
        <w:spacing w:before="220"/>
        <w:ind w:firstLine="540"/>
        <w:jc w:val="both"/>
      </w:pPr>
      <w:r>
        <w:t>1) 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8E5851" w:rsidRDefault="008E5851">
      <w:pPr>
        <w:pStyle w:val="ConsPlusNormal"/>
        <w:jc w:val="both"/>
      </w:pPr>
      <w:r>
        <w:t xml:space="preserve">(в ред. </w:t>
      </w:r>
      <w:hyperlink r:id="rId17"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spacing w:before="220"/>
        <w:ind w:firstLine="540"/>
        <w:jc w:val="both"/>
      </w:pPr>
      <w:r>
        <w:lastRenderedPageBreak/>
        <w:t>2) 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8E5851" w:rsidRDefault="008E5851">
      <w:pPr>
        <w:pStyle w:val="ConsPlusNormal"/>
        <w:spacing w:before="220"/>
        <w:ind w:firstLine="540"/>
        <w:jc w:val="both"/>
      </w:pPr>
      <w:r>
        <w:t xml:space="preserve">8. В целях </w:t>
      </w:r>
      <w:hyperlink r:id="rId18" w:history="1">
        <w:r>
          <w:rPr>
            <w:color w:val="0000FF"/>
          </w:rPr>
          <w:t>статьи 378.2</w:t>
        </w:r>
      </w:hyperlink>
      <w:r>
        <w:t xml:space="preserve"> Налогового кодекса Российской Федерации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w:t>
      </w:r>
    </w:p>
    <w:p w:rsidR="008E5851" w:rsidRDefault="008E5851">
      <w:pPr>
        <w:pStyle w:val="ConsPlusNormal"/>
        <w:spacing w:before="220"/>
        <w:ind w:firstLine="540"/>
        <w:jc w:val="both"/>
      </w:pPr>
      <w:r>
        <w:t>9. Уполномоченный орган осуществляет формирование перечня объектов нежилого фонда, в отношении которых налоговая база определяется как кадастровая стоимость (далее - Перечень), по форме, утвержденной Федеральной налоговой службой Российской Федерации.</w:t>
      </w:r>
    </w:p>
    <w:p w:rsidR="008E5851" w:rsidRDefault="008E5851">
      <w:pPr>
        <w:pStyle w:val="ConsPlusNormal"/>
        <w:spacing w:before="220"/>
        <w:ind w:firstLine="540"/>
        <w:jc w:val="both"/>
      </w:pPr>
      <w:bookmarkStart w:id="2" w:name="P73"/>
      <w:bookmarkEnd w:id="2"/>
      <w:r>
        <w:t>10. Перечень формируется уполномоченным органом на основании сведений, предоставляемых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Калининградской области, органами местного самоуправления муниципальных образований Калининградской области, а также сведений из открытых источников информации.</w:t>
      </w:r>
    </w:p>
    <w:p w:rsidR="008E5851" w:rsidRDefault="008E5851">
      <w:pPr>
        <w:pStyle w:val="ConsPlusNormal"/>
        <w:spacing w:before="220"/>
        <w:ind w:firstLine="540"/>
        <w:jc w:val="both"/>
      </w:pPr>
      <w:bookmarkStart w:id="3" w:name="P74"/>
      <w:bookmarkEnd w:id="3"/>
      <w:r>
        <w:t xml:space="preserve">11. В случае недостаточности сведений, указанных в </w:t>
      </w:r>
      <w:hyperlink w:anchor="P73" w:history="1">
        <w:r>
          <w:rPr>
            <w:color w:val="0000FF"/>
          </w:rPr>
          <w:t>пункте 10</w:t>
        </w:r>
      </w:hyperlink>
      <w:r>
        <w:t xml:space="preserve"> настоящего порядка, уполномоченный орган запрашивает у правообладателя объекта нежилого фонда следующие документы:</w:t>
      </w:r>
    </w:p>
    <w:p w:rsidR="008E5851" w:rsidRDefault="008E5851">
      <w:pPr>
        <w:pStyle w:val="ConsPlusNormal"/>
        <w:spacing w:before="220"/>
        <w:ind w:firstLine="540"/>
        <w:jc w:val="both"/>
      </w:pPr>
      <w:r>
        <w:t>1) правоустанавливающие документы на здание (помещение), а также на земельный участок, на котором расположено здание (помещение);</w:t>
      </w:r>
    </w:p>
    <w:p w:rsidR="008E5851" w:rsidRDefault="008E5851">
      <w:pPr>
        <w:pStyle w:val="ConsPlusNormal"/>
        <w:spacing w:before="220"/>
        <w:ind w:firstLine="540"/>
        <w:jc w:val="both"/>
      </w:pPr>
      <w:r>
        <w:t>2) техническую документацию (технический паспорт, поэтажный план, экспликация) на здание (помещение);</w:t>
      </w:r>
    </w:p>
    <w:p w:rsidR="008E5851" w:rsidRDefault="008E5851">
      <w:pPr>
        <w:pStyle w:val="ConsPlusNormal"/>
        <w:spacing w:before="220"/>
        <w:ind w:firstLine="540"/>
        <w:jc w:val="both"/>
      </w:pPr>
      <w:r>
        <w:t>3) разрешительную документацию на произведенную реконструкцию здания (перепланировку помещения);</w:t>
      </w:r>
    </w:p>
    <w:p w:rsidR="008E5851" w:rsidRDefault="008E5851">
      <w:pPr>
        <w:pStyle w:val="ConsPlusNormal"/>
        <w:spacing w:before="220"/>
        <w:ind w:firstLine="540"/>
        <w:jc w:val="both"/>
      </w:pPr>
      <w:r>
        <w:t>4) копии технического плана (паспорта), кадастровых паспортов объекта нежилого фонда и земельного участка, на котором расположен объект нежилого фонда.</w:t>
      </w:r>
    </w:p>
    <w:p w:rsidR="008E5851" w:rsidRDefault="008E5851">
      <w:pPr>
        <w:pStyle w:val="ConsPlusNormal"/>
        <w:spacing w:before="220"/>
        <w:ind w:firstLine="540"/>
        <w:jc w:val="both"/>
      </w:pPr>
      <w:r>
        <w:t xml:space="preserve">12. Документы, указанные в </w:t>
      </w:r>
      <w:hyperlink w:anchor="P74" w:history="1">
        <w:r>
          <w:rPr>
            <w:color w:val="0000FF"/>
          </w:rPr>
          <w:t>пункте 11</w:t>
        </w:r>
      </w:hyperlink>
      <w:r>
        <w:t xml:space="preserve"> настоящего порядка, представляются в уполномоченный орган в виде копий, заверенных для организаций печатью (при ее наличии) и подписью руководителя либо его уполномоченного представителя, а для физических лиц ими лично либо их уполномоченными представителями, в срок не позднее 7 рабочих дней с даты поступления правообладателю объекта нежилого фонда соответствующего запроса уполномоченного органа.</w:t>
      </w:r>
    </w:p>
    <w:p w:rsidR="008E5851" w:rsidRDefault="008E5851">
      <w:pPr>
        <w:pStyle w:val="ConsPlusNormal"/>
        <w:spacing w:before="220"/>
        <w:ind w:firstLine="540"/>
        <w:jc w:val="both"/>
      </w:pPr>
      <w:r>
        <w:t xml:space="preserve">13. В случае непредставления правообладателем объекта нежилого фонда документов, указанных в </w:t>
      </w:r>
      <w:hyperlink w:anchor="P74" w:history="1">
        <w:r>
          <w:rPr>
            <w:color w:val="0000FF"/>
          </w:rPr>
          <w:t>пункте 11</w:t>
        </w:r>
      </w:hyperlink>
      <w:r>
        <w:t xml:space="preserve"> настоящего порядка, а также в случае неполноты либо недостоверности сведений, содержащихся в представленных документах, уполномоченный орган проводит обследование объекта нежилого фонда (далее - обследование).</w:t>
      </w:r>
    </w:p>
    <w:p w:rsidR="008E5851" w:rsidRDefault="008E5851">
      <w:pPr>
        <w:pStyle w:val="ConsPlusNormal"/>
        <w:spacing w:before="220"/>
        <w:ind w:firstLine="540"/>
        <w:jc w:val="both"/>
      </w:pPr>
      <w:r>
        <w:t xml:space="preserve">14. Утратил силу. - </w:t>
      </w:r>
      <w:hyperlink r:id="rId19" w:history="1">
        <w:r>
          <w:rPr>
            <w:color w:val="0000FF"/>
          </w:rPr>
          <w:t>Постановление</w:t>
        </w:r>
      </w:hyperlink>
      <w:r>
        <w:t xml:space="preserve"> Правительства Калининградской области от 19.04.2018 N 233.</w:t>
      </w:r>
    </w:p>
    <w:p w:rsidR="008E5851" w:rsidRDefault="008E5851">
      <w:pPr>
        <w:pStyle w:val="ConsPlusNormal"/>
        <w:spacing w:before="220"/>
        <w:ind w:firstLine="540"/>
        <w:jc w:val="both"/>
      </w:pPr>
      <w:r>
        <w:t xml:space="preserve">15. В целях проведения обследования, а также определения вида фактического </w:t>
      </w:r>
      <w:r>
        <w:lastRenderedPageBreak/>
        <w:t>использования объектов нежилого фонда, указанных в пункте 3 настоящего порядка, уполномоченный орган создает комиссию по рассмотрению вопросов, касающихся определения вида фактического использования объектов нежилого фонда (далее - комиссия), в состав которой входят представители уполномоченного органа, Министерства экономики Калининградской области, Министерства финансов Калининградской области, Правового управления Правительства Калининградской области, а также по согласованию представители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Калининградской области, Управления Федеральной налоговой службы по Калининградской области, органов местного самоуправления муниципальных образований Калининградской области.</w:t>
      </w:r>
    </w:p>
    <w:p w:rsidR="008E5851" w:rsidRDefault="008E5851">
      <w:pPr>
        <w:pStyle w:val="ConsPlusNormal"/>
        <w:spacing w:before="220"/>
        <w:ind w:firstLine="540"/>
        <w:jc w:val="both"/>
      </w:pPr>
      <w:r>
        <w:t>Порядок работы комиссии и ее состав определяются приказами руководителя уполномоченного органа.</w:t>
      </w:r>
    </w:p>
    <w:p w:rsidR="008E5851" w:rsidRDefault="008E5851">
      <w:pPr>
        <w:pStyle w:val="ConsPlusNormal"/>
        <w:jc w:val="both"/>
      </w:pPr>
      <w:r>
        <w:t xml:space="preserve">(п. 15 в ред. </w:t>
      </w:r>
      <w:hyperlink r:id="rId20"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spacing w:before="220"/>
        <w:ind w:firstLine="540"/>
        <w:jc w:val="both"/>
      </w:pPr>
      <w:r>
        <w:t xml:space="preserve">16. Обследование проводится комиссией в соответствии с </w:t>
      </w:r>
      <w:hyperlink w:anchor="P114" w:history="1">
        <w:r>
          <w:rPr>
            <w:color w:val="0000FF"/>
          </w:rPr>
          <w:t>методикой</w:t>
        </w:r>
      </w:hyperlink>
      <w:r>
        <w:t xml:space="preserve"> определения вида фактического использования зданий (строений, сооружений) и помещений, в отношении которых налоговая база определяется как кадастровая стоимость, приведенной в приложении N 1 к настоящему порядку.</w:t>
      </w:r>
    </w:p>
    <w:p w:rsidR="008E5851" w:rsidRDefault="008E5851">
      <w:pPr>
        <w:pStyle w:val="ConsPlusNormal"/>
        <w:spacing w:before="220"/>
        <w:ind w:firstLine="540"/>
        <w:jc w:val="both"/>
      </w:pPr>
      <w:r>
        <w:t>17. Обследование проводится на основании решения уполномоченного органа, принимаемого в форме приказа его руководителя.</w:t>
      </w:r>
    </w:p>
    <w:p w:rsidR="008E5851" w:rsidRDefault="008E5851">
      <w:pPr>
        <w:pStyle w:val="ConsPlusNormal"/>
        <w:spacing w:before="220"/>
        <w:ind w:firstLine="540"/>
        <w:jc w:val="both"/>
      </w:pPr>
      <w:r>
        <w:t>В течение 7 рабочих дней с даты подписания руководителем уполномоченного органа решения о проведении обследования правообладателю объекта нежилого фонда направляется письменное (почтовой, факсимильной, электронной связью) уведомление с указанием даты и времени проведения обследования.</w:t>
      </w:r>
    </w:p>
    <w:p w:rsidR="008E5851" w:rsidRDefault="008E5851">
      <w:pPr>
        <w:pStyle w:val="ConsPlusNormal"/>
        <w:spacing w:before="220"/>
        <w:ind w:firstLine="540"/>
        <w:jc w:val="both"/>
      </w:pPr>
      <w:r>
        <w:t>18. В решении о проведении обследования указываются:</w:t>
      </w:r>
    </w:p>
    <w:p w:rsidR="008E5851" w:rsidRDefault="008E5851">
      <w:pPr>
        <w:pStyle w:val="ConsPlusNormal"/>
        <w:spacing w:before="220"/>
        <w:ind w:firstLine="540"/>
        <w:jc w:val="both"/>
      </w:pPr>
      <w:r>
        <w:t>1) должностные лица, уполномоченные на проведение обследования, а также иные лица, привлеченные для обследования;</w:t>
      </w:r>
    </w:p>
    <w:p w:rsidR="008E5851" w:rsidRDefault="008E5851">
      <w:pPr>
        <w:pStyle w:val="ConsPlusNormal"/>
        <w:spacing w:before="220"/>
        <w:ind w:firstLine="540"/>
        <w:jc w:val="both"/>
      </w:pPr>
      <w:r>
        <w:t>2) наименование и адрес объекта обследования;</w:t>
      </w:r>
    </w:p>
    <w:p w:rsidR="008E5851" w:rsidRDefault="008E5851">
      <w:pPr>
        <w:pStyle w:val="ConsPlusNormal"/>
        <w:spacing w:before="220"/>
        <w:ind w:firstLine="540"/>
        <w:jc w:val="both"/>
      </w:pPr>
      <w:r>
        <w:t>3) цели, предмет и срок проведения обследования;</w:t>
      </w:r>
    </w:p>
    <w:p w:rsidR="008E5851" w:rsidRDefault="008E5851">
      <w:pPr>
        <w:pStyle w:val="ConsPlusNormal"/>
        <w:spacing w:before="220"/>
        <w:ind w:firstLine="540"/>
        <w:jc w:val="both"/>
      </w:pPr>
      <w:r>
        <w:t>4) основания проведения обследования.</w:t>
      </w:r>
    </w:p>
    <w:p w:rsidR="008E5851" w:rsidRDefault="008E5851">
      <w:pPr>
        <w:pStyle w:val="ConsPlusNormal"/>
        <w:spacing w:before="220"/>
        <w:ind w:firstLine="540"/>
        <w:jc w:val="both"/>
      </w:pPr>
      <w:r>
        <w:t>19. В ходе проведения обследования проводится фото- и (или) видеосъемка, фиксирующая фактическое использование объекта. При необходимости могут проводиться соответствующие измерения, обмеры, а также фотосъемка (при необходимости видеосъемка) информационных стендов с реквизитами организаций, осуществляющих хозяйственную и иную деятельность на объекте, указателей наименований улиц и номеров домов (при наличии), расположенных на объекте нежилого фонда.</w:t>
      </w:r>
    </w:p>
    <w:p w:rsidR="008E5851" w:rsidRDefault="008E5851">
      <w:pPr>
        <w:pStyle w:val="ConsPlusNormal"/>
        <w:spacing w:before="220"/>
        <w:ind w:firstLine="540"/>
        <w:jc w:val="both"/>
      </w:pPr>
      <w:r>
        <w:t xml:space="preserve">20. По результатам проведения обследования уполномоченный орган в срок не позднее 5 рабочих дней с даты проведения указанного мероприятия составляет </w:t>
      </w:r>
      <w:hyperlink w:anchor="P176" w:history="1">
        <w:r>
          <w:rPr>
            <w:color w:val="0000FF"/>
          </w:rPr>
          <w:t>акт</w:t>
        </w:r>
      </w:hyperlink>
      <w:r>
        <w:t xml:space="preserve"> о фактическом использовании объекта нежилого фонда (далее - акт) по форме согласно приложению N 2 к настоящему порядку и не позднее 2 рабочих дней с даты подписания акта направляет заверенную копию акта правообладателю объекта нежилого фонда почтовым отправлением для ознакомления.</w:t>
      </w:r>
    </w:p>
    <w:p w:rsidR="008E5851" w:rsidRDefault="008E5851">
      <w:pPr>
        <w:pStyle w:val="ConsPlusNormal"/>
        <w:spacing w:before="220"/>
        <w:ind w:firstLine="540"/>
        <w:jc w:val="both"/>
      </w:pPr>
      <w:r>
        <w:t xml:space="preserve">21. В случае, если при проведении обследования возникли обстоятельства, препятствующие доступу уполномоченного органа на объект нежилого фонда, и (или) имеется информация, свидетельствующая об использовании указанного объекта для размещения офисов, торговых </w:t>
      </w:r>
      <w:r>
        <w:lastRenderedPageBreak/>
        <w:t>объектов, объектов общественного питания и (или) объектов бытового обслуживания, акт оформляется с указанием выявленных признаков размещения офисов, торговых объектов, объектов общественного питания и (или) объектов бытового обслуживания с приложением фотоматериалов и указанием на обстоятельства, препятствовавшие доступу уполномоченного органа на объект нежилого фонда.</w:t>
      </w:r>
    </w:p>
    <w:p w:rsidR="008E5851" w:rsidRDefault="008E5851">
      <w:pPr>
        <w:pStyle w:val="ConsPlusNormal"/>
        <w:spacing w:before="220"/>
        <w:ind w:firstLine="540"/>
        <w:jc w:val="both"/>
      </w:pPr>
      <w:r>
        <w:t>22. Результаты обследования, содержащие сведения, составляющие государственную, коммерческую, служебную, иную тайну, охраняемую законом, должны быть оформлены с соблюдением требований, предусмотренных законодательством Российской Федерации.</w:t>
      </w:r>
    </w:p>
    <w:p w:rsidR="008E5851" w:rsidRDefault="008E5851">
      <w:pPr>
        <w:pStyle w:val="ConsPlusNormal"/>
        <w:spacing w:before="220"/>
        <w:ind w:firstLine="540"/>
        <w:jc w:val="both"/>
      </w:pPr>
      <w:r>
        <w:t>23. В случае несогласия с результатами обследования правообладатель объекта нежилого фонда вправе в течение 30 календарных дней с даты размещения информации о результатах проведения обследования на официальном сайте уполномоченного органа в информационно-телекоммуникационной сети "Интернет" обратиться в уполномоченный орган с заявлением о пересмотре вида фактического использования объекта нежилого фонда комиссией, образованной при уполномоченном органе.</w:t>
      </w:r>
    </w:p>
    <w:p w:rsidR="008E5851" w:rsidRDefault="008E5851">
      <w:pPr>
        <w:pStyle w:val="ConsPlusNormal"/>
        <w:spacing w:before="220"/>
        <w:ind w:firstLine="540"/>
        <w:jc w:val="both"/>
      </w:pPr>
      <w:r>
        <w:t xml:space="preserve">24. В случае изменения вида фактического использования объекта нежилого фонда либо в случае фактического использования по указанному в </w:t>
      </w:r>
      <w:hyperlink r:id="rId21" w:history="1">
        <w:r>
          <w:rPr>
            <w:color w:val="0000FF"/>
          </w:rPr>
          <w:t>статье 378.2</w:t>
        </w:r>
      </w:hyperlink>
      <w:r>
        <w:t xml:space="preserve"> Налогового кодекса Российской Федерации назначению менее 20 процентов общей площади объекта нежилого фонда правообладатель вправе обратиться в уполномоченный орган с заявлением об исключении объекта нежилого фонда из Перечня. К заявлению в уполномоченный орган правообладатель прилагает документы, указанные в </w:t>
      </w:r>
      <w:hyperlink w:anchor="P74" w:history="1">
        <w:r>
          <w:rPr>
            <w:color w:val="0000FF"/>
          </w:rPr>
          <w:t>пункте 11</w:t>
        </w:r>
      </w:hyperlink>
      <w:r>
        <w:t xml:space="preserve"> настоящего порядка.</w:t>
      </w:r>
    </w:p>
    <w:p w:rsidR="008E5851" w:rsidRDefault="008E5851">
      <w:pPr>
        <w:pStyle w:val="ConsPlusNormal"/>
        <w:jc w:val="both"/>
      </w:pPr>
      <w:r>
        <w:t xml:space="preserve">(в ред. </w:t>
      </w:r>
      <w:hyperlink r:id="rId22" w:history="1">
        <w:r>
          <w:rPr>
            <w:color w:val="0000FF"/>
          </w:rPr>
          <w:t>Постановления</w:t>
        </w:r>
      </w:hyperlink>
      <w:r>
        <w:t xml:space="preserve"> Правительства Калининградской области от 19.04.2018 N 233)</w:t>
      </w:r>
    </w:p>
    <w:p w:rsidR="008E5851" w:rsidRDefault="008E5851">
      <w:pPr>
        <w:pStyle w:val="ConsPlusNormal"/>
        <w:spacing w:before="220"/>
        <w:ind w:firstLine="540"/>
        <w:jc w:val="both"/>
      </w:pPr>
      <w:r>
        <w:t>Заявление правообладателя объекта нежилого фонда рассматривается комиссией уполномоченного органа в порядке, установленном приказом руководителя уполномоченного органа.</w:t>
      </w: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jc w:val="right"/>
        <w:outlineLvl w:val="1"/>
      </w:pPr>
      <w:r>
        <w:t>Приложение N 1</w:t>
      </w:r>
    </w:p>
    <w:p w:rsidR="008E5851" w:rsidRDefault="008E5851">
      <w:pPr>
        <w:pStyle w:val="ConsPlusNormal"/>
        <w:jc w:val="right"/>
      </w:pPr>
      <w:r>
        <w:t>к порядку определения вида</w:t>
      </w:r>
    </w:p>
    <w:p w:rsidR="008E5851" w:rsidRDefault="008E5851">
      <w:pPr>
        <w:pStyle w:val="ConsPlusNormal"/>
        <w:jc w:val="right"/>
      </w:pPr>
      <w:r>
        <w:t>фактического использования зданий</w:t>
      </w:r>
    </w:p>
    <w:p w:rsidR="008E5851" w:rsidRDefault="008E5851">
      <w:pPr>
        <w:pStyle w:val="ConsPlusNormal"/>
        <w:jc w:val="right"/>
      </w:pPr>
      <w:r>
        <w:t>(строений, сооружений) и помещений,</w:t>
      </w:r>
    </w:p>
    <w:p w:rsidR="008E5851" w:rsidRDefault="008E5851">
      <w:pPr>
        <w:pStyle w:val="ConsPlusNormal"/>
        <w:jc w:val="right"/>
      </w:pPr>
      <w:r>
        <w:t>расположенных на территории</w:t>
      </w:r>
    </w:p>
    <w:p w:rsidR="008E5851" w:rsidRDefault="008E5851">
      <w:pPr>
        <w:pStyle w:val="ConsPlusNormal"/>
        <w:jc w:val="right"/>
      </w:pPr>
      <w:r>
        <w:t>Калининградской области,</w:t>
      </w:r>
    </w:p>
    <w:p w:rsidR="008E5851" w:rsidRDefault="008E5851">
      <w:pPr>
        <w:pStyle w:val="ConsPlusNormal"/>
        <w:jc w:val="right"/>
      </w:pPr>
      <w:r>
        <w:t>для целей налогообложения</w:t>
      </w:r>
    </w:p>
    <w:p w:rsidR="008E5851" w:rsidRDefault="008E5851">
      <w:pPr>
        <w:pStyle w:val="ConsPlusNormal"/>
        <w:ind w:firstLine="540"/>
        <w:jc w:val="both"/>
      </w:pPr>
    </w:p>
    <w:p w:rsidR="008E5851" w:rsidRDefault="008E5851">
      <w:pPr>
        <w:pStyle w:val="ConsPlusTitle"/>
        <w:jc w:val="center"/>
      </w:pPr>
      <w:bookmarkStart w:id="4" w:name="P114"/>
      <w:bookmarkEnd w:id="4"/>
      <w:r>
        <w:t>МЕТОДИКА</w:t>
      </w:r>
    </w:p>
    <w:p w:rsidR="008E5851" w:rsidRDefault="008E5851">
      <w:pPr>
        <w:pStyle w:val="ConsPlusTitle"/>
        <w:jc w:val="center"/>
      </w:pPr>
      <w:r>
        <w:t>определения вида фактического использования зданий</w:t>
      </w:r>
    </w:p>
    <w:p w:rsidR="008E5851" w:rsidRDefault="008E5851">
      <w:pPr>
        <w:pStyle w:val="ConsPlusTitle"/>
        <w:jc w:val="center"/>
      </w:pPr>
      <w:r>
        <w:t>(строений, сооружений) и помещений, в отношении которых</w:t>
      </w:r>
    </w:p>
    <w:p w:rsidR="008E5851" w:rsidRDefault="008E5851">
      <w:pPr>
        <w:pStyle w:val="ConsPlusTitle"/>
        <w:jc w:val="center"/>
      </w:pPr>
      <w:r>
        <w:t>налоговая база определяется как кадастровая стоимость</w:t>
      </w:r>
    </w:p>
    <w:p w:rsidR="008E5851" w:rsidRDefault="008E5851">
      <w:pPr>
        <w:pStyle w:val="ConsPlusNormal"/>
        <w:ind w:firstLine="540"/>
        <w:jc w:val="both"/>
      </w:pPr>
    </w:p>
    <w:p w:rsidR="008E5851" w:rsidRDefault="008E5851">
      <w:pPr>
        <w:pStyle w:val="ConsPlusNormal"/>
        <w:jc w:val="center"/>
        <w:outlineLvl w:val="2"/>
      </w:pPr>
      <w:r>
        <w:t>Глава 1. ОСНОВНЫЕ ПОНЯТИЯ, ПРИМЕНЯЕМЫЕ В НАСТОЯЩЕЙ МЕТОДИКЕ</w:t>
      </w:r>
    </w:p>
    <w:p w:rsidR="008E5851" w:rsidRDefault="008E5851">
      <w:pPr>
        <w:pStyle w:val="ConsPlusNormal"/>
        <w:ind w:firstLine="540"/>
        <w:jc w:val="both"/>
      </w:pPr>
    </w:p>
    <w:p w:rsidR="008E5851" w:rsidRDefault="008E5851">
      <w:pPr>
        <w:pStyle w:val="ConsPlusNormal"/>
        <w:ind w:firstLine="540"/>
        <w:jc w:val="both"/>
      </w:pPr>
      <w:r>
        <w:t xml:space="preserve">1. Общая площадь объекта нежилого фонда - суммарная площадь всех помещений объекта обследования здания (строения, сооружения) и нежилого помещения, в том числе административно-делового или торгового центра, комплекса, определяемая на основании документов кадастрового учета, документов технического учета (инвентаризации), сведений из Единого государственного реестра прав на недвижимое имущество и сделок с ним (далее - ЕГРП) (при наличии у Уполномоченного органа соответствующих документов и сведений) и (или) </w:t>
      </w:r>
      <w:r>
        <w:lastRenderedPageBreak/>
        <w:t>фактических измерений (обмера).</w:t>
      </w:r>
    </w:p>
    <w:p w:rsidR="008E5851" w:rsidRDefault="008E5851">
      <w:pPr>
        <w:pStyle w:val="ConsPlusNormal"/>
        <w:spacing w:before="220"/>
        <w:ind w:firstLine="540"/>
        <w:jc w:val="both"/>
      </w:pPr>
      <w:r>
        <w:t>2. Полезная нежилая площадь - нежилая площадь торгового, офисного, спортивного, административного, социального и другого назначения, используемая для осуществления ее собственниками (владельцами, пользователями) своей деятельности, в том числе площадь вспомогательных помещений, не относящихся к помещениям общего пользования (в частности, места размещения инженерно-технологического оборудования, комната ожидания посетителей, комнаты хранения), используемая указанными собственниками (владельцами, пользователями).</w:t>
      </w:r>
    </w:p>
    <w:p w:rsidR="008E5851" w:rsidRDefault="008E5851">
      <w:pPr>
        <w:pStyle w:val="ConsPlusNormal"/>
        <w:spacing w:before="220"/>
        <w:ind w:firstLine="540"/>
        <w:jc w:val="both"/>
      </w:pPr>
      <w:r>
        <w:t>3. Помещения общего пользования - помещения, используемые одновременно несколькими собственниками (владельцами, пользователями) зданий (строений, сооружений) и нежилых помещений, в отношении которых проводятся мероприятия по определению вида фактического использования (в частности, общие входные группы, общие коридоры, лифтовые холлы, санузлы, подвалы, чердаки, парковки, места размещения инженерно-технологического оборудования, обслуживающего все здание (строение, сооружение) и нежилое помещение).</w:t>
      </w:r>
    </w:p>
    <w:p w:rsidR="008E5851" w:rsidRDefault="008E5851">
      <w:pPr>
        <w:pStyle w:val="ConsPlusNormal"/>
        <w:spacing w:before="220"/>
        <w:ind w:firstLine="540"/>
        <w:jc w:val="both"/>
      </w:pPr>
      <w:r>
        <w:t>4. В целях применения настоящей методики под частью здания (строения, сооружения) понимается этаж или часть этажа, подвал (подвальный этаж), чердак (чердачные помещения), мансардные помещения (мансарда, мансардный этаж) и иные помещения, в которых расположены помещения общего пользования, и полезная нежилая площадь (при ее наличии) в соответствующей части здания (строения, сооружения).</w:t>
      </w:r>
    </w:p>
    <w:p w:rsidR="008E5851" w:rsidRDefault="008E5851">
      <w:pPr>
        <w:pStyle w:val="ConsPlusNormal"/>
        <w:ind w:firstLine="540"/>
        <w:jc w:val="both"/>
      </w:pPr>
    </w:p>
    <w:p w:rsidR="008E5851" w:rsidRDefault="008E5851">
      <w:pPr>
        <w:pStyle w:val="ConsPlusNormal"/>
        <w:jc w:val="center"/>
        <w:outlineLvl w:val="2"/>
      </w:pPr>
      <w:r>
        <w:t>Глава 2. РАСЧЕТ ДОЛИ ФАКТИЧЕСКОЙ ПЛОЩАДИ ОБЪЕКТА НЕЖИЛОГО</w:t>
      </w:r>
    </w:p>
    <w:p w:rsidR="008E5851" w:rsidRDefault="008E5851">
      <w:pPr>
        <w:pStyle w:val="ConsPlusNormal"/>
        <w:jc w:val="center"/>
      </w:pPr>
      <w:r>
        <w:t>ФОНДА, ИСПОЛЬЗУЕМОЙ ДЛЯ КАЖДОГО ИЗ ВИДОВ ДЕЯТЕЛЬНОСТИ,</w:t>
      </w:r>
    </w:p>
    <w:p w:rsidR="008E5851" w:rsidRDefault="008E5851">
      <w:pPr>
        <w:pStyle w:val="ConsPlusNormal"/>
        <w:jc w:val="center"/>
      </w:pPr>
      <w:r>
        <w:t>ОСУЩЕСТВЛЯЕМОЙ В ЗДАНИИ (СТРОЕНИИ, СООРУЖЕНИИ) И НЕЖИЛОМ</w:t>
      </w:r>
    </w:p>
    <w:p w:rsidR="008E5851" w:rsidRDefault="008E5851">
      <w:pPr>
        <w:pStyle w:val="ConsPlusNormal"/>
        <w:jc w:val="center"/>
      </w:pPr>
      <w:r>
        <w:t>ПОМЕЩЕНИИ, В ОБЩЕЙ ПЛОЩАДИ ОБЪЕКТА НЕЖИЛОГО ФОНДА</w:t>
      </w:r>
    </w:p>
    <w:p w:rsidR="008E5851" w:rsidRDefault="008E5851">
      <w:pPr>
        <w:pStyle w:val="ConsPlusNormal"/>
        <w:ind w:firstLine="540"/>
        <w:jc w:val="both"/>
      </w:pPr>
    </w:p>
    <w:p w:rsidR="008E5851" w:rsidRDefault="008E5851">
      <w:pPr>
        <w:pStyle w:val="ConsPlusNormal"/>
        <w:ind w:firstLine="540"/>
        <w:jc w:val="both"/>
      </w:pPr>
      <w:bookmarkStart w:id="5" w:name="P131"/>
      <w:bookmarkEnd w:id="5"/>
      <w:r>
        <w:t>5. На основании документов кадастрового учета, документов технического учета (инвентаризации), сведений из ЕГРП, договоров, предусматривающих переход прав владения и (или) пользования на объекты нежилого фонда (при наличии у уполномоченного органа соответствующих документов и сведений), и (или) фактических измерений (обмера) подлежат определению:</w:t>
      </w:r>
    </w:p>
    <w:p w:rsidR="008E5851" w:rsidRDefault="008E5851">
      <w:pPr>
        <w:pStyle w:val="ConsPlusNormal"/>
        <w:spacing w:before="220"/>
        <w:ind w:firstLine="540"/>
        <w:jc w:val="both"/>
      </w:pPr>
      <w:r>
        <w:t>1) общая площадь объекта нежилого фонда (S</w:t>
      </w:r>
      <w:r>
        <w:rPr>
          <w:vertAlign w:val="subscript"/>
        </w:rPr>
        <w:t>общ</w:t>
      </w:r>
      <w:r>
        <w:t>);</w:t>
      </w:r>
    </w:p>
    <w:p w:rsidR="008E5851" w:rsidRDefault="008E5851">
      <w:pPr>
        <w:pStyle w:val="ConsPlusNormal"/>
        <w:spacing w:before="220"/>
        <w:ind w:firstLine="540"/>
        <w:jc w:val="both"/>
      </w:pPr>
      <w:r>
        <w:t>2) общий объем полезной нежилой площади (S</w:t>
      </w:r>
      <w:r>
        <w:rPr>
          <w:vertAlign w:val="subscript"/>
        </w:rPr>
        <w:t>исп</w:t>
      </w:r>
      <w:r>
        <w:t>), а также полезной нежилой площади, используемой для осуществления каждого из видов деятельности (например, S</w:t>
      </w:r>
      <w:r>
        <w:rPr>
          <w:vertAlign w:val="subscript"/>
        </w:rPr>
        <w:t>оф</w:t>
      </w:r>
      <w:r>
        <w:t xml:space="preserve"> - площадь офисов, S</w:t>
      </w:r>
      <w:r>
        <w:rPr>
          <w:vertAlign w:val="subscript"/>
        </w:rPr>
        <w:t>пит</w:t>
      </w:r>
      <w:r>
        <w:t xml:space="preserve"> - площадь объектов общественного питания, S</w:t>
      </w:r>
      <w:r>
        <w:rPr>
          <w:vertAlign w:val="subscript"/>
        </w:rPr>
        <w:t>быт</w:t>
      </w:r>
      <w:r>
        <w:t xml:space="preserve"> - площадь объектов бытового обслуживания, S</w:t>
      </w:r>
      <w:r>
        <w:rPr>
          <w:vertAlign w:val="subscript"/>
        </w:rPr>
        <w:t>торг</w:t>
      </w:r>
      <w:r>
        <w:t xml:space="preserve"> - площадь торговых объектов);</w:t>
      </w:r>
    </w:p>
    <w:p w:rsidR="008E5851" w:rsidRDefault="008E5851">
      <w:pPr>
        <w:pStyle w:val="ConsPlusNormal"/>
        <w:spacing w:before="220"/>
        <w:ind w:firstLine="540"/>
        <w:jc w:val="both"/>
      </w:pPr>
      <w:r>
        <w:t>3) площадь помещений общего пользования (S</w:t>
      </w:r>
      <w:r>
        <w:rPr>
          <w:vertAlign w:val="subscript"/>
        </w:rPr>
        <w:t>оп</w:t>
      </w:r>
      <w:r>
        <w:t>).</w:t>
      </w:r>
    </w:p>
    <w:p w:rsidR="008E5851" w:rsidRDefault="008E5851">
      <w:pPr>
        <w:pStyle w:val="ConsPlusNormal"/>
        <w:spacing w:before="220"/>
        <w:ind w:firstLine="540"/>
        <w:jc w:val="both"/>
      </w:pPr>
      <w:r>
        <w:t>6. Размер площади помещения общего пользования, используемого для осуществления каждого из видов деятельности (S</w:t>
      </w:r>
      <w:r>
        <w:rPr>
          <w:vertAlign w:val="subscript"/>
        </w:rPr>
        <w:t>оп.-оф</w:t>
      </w:r>
      <w:r>
        <w:t>, S</w:t>
      </w:r>
      <w:r>
        <w:rPr>
          <w:vertAlign w:val="subscript"/>
        </w:rPr>
        <w:t>оп.-пит</w:t>
      </w:r>
      <w:r>
        <w:t>, S</w:t>
      </w:r>
      <w:r>
        <w:rPr>
          <w:vertAlign w:val="subscript"/>
        </w:rPr>
        <w:t>оп.-быт</w:t>
      </w:r>
      <w:r>
        <w:t>, S</w:t>
      </w:r>
      <w:r>
        <w:rPr>
          <w:vertAlign w:val="subscript"/>
        </w:rPr>
        <w:t>оп.-торг</w:t>
      </w:r>
      <w:r>
        <w:t>) рассчитывается как произведение площади, используемой для осуществления каждого из видов деятельности (S</w:t>
      </w:r>
      <w:r>
        <w:rPr>
          <w:vertAlign w:val="subscript"/>
        </w:rPr>
        <w:t>оф</w:t>
      </w:r>
      <w:r>
        <w:t>, S</w:t>
      </w:r>
      <w:r>
        <w:rPr>
          <w:vertAlign w:val="subscript"/>
        </w:rPr>
        <w:t>пит</w:t>
      </w:r>
      <w:r>
        <w:t>, S</w:t>
      </w:r>
      <w:r>
        <w:rPr>
          <w:vertAlign w:val="subscript"/>
        </w:rPr>
        <w:t>быт</w:t>
      </w:r>
      <w:r>
        <w:t>, S</w:t>
      </w:r>
      <w:r>
        <w:rPr>
          <w:vertAlign w:val="subscript"/>
        </w:rPr>
        <w:t>торг</w:t>
      </w:r>
      <w:r>
        <w:t>), и соотношение площади помещений общего пользования (S</w:t>
      </w:r>
      <w:r>
        <w:rPr>
          <w:vertAlign w:val="subscript"/>
        </w:rPr>
        <w:t>оп</w:t>
      </w:r>
      <w:r>
        <w:t>) и общего объема полезной нежилой площади (S</w:t>
      </w:r>
      <w:r>
        <w:rPr>
          <w:vertAlign w:val="subscript"/>
        </w:rPr>
        <w:t>исп</w:t>
      </w:r>
      <w:r>
        <w:t>), например:</w:t>
      </w:r>
    </w:p>
    <w:p w:rsidR="008E5851" w:rsidRDefault="008E5851">
      <w:pPr>
        <w:pStyle w:val="ConsPlusNormal"/>
        <w:ind w:firstLine="540"/>
        <w:jc w:val="both"/>
      </w:pPr>
    </w:p>
    <w:p w:rsidR="008E5851" w:rsidRDefault="008E5851">
      <w:pPr>
        <w:pStyle w:val="ConsPlusNormal"/>
        <w:jc w:val="center"/>
      </w:pPr>
      <w:r>
        <w:t>S</w:t>
      </w:r>
      <w:r>
        <w:rPr>
          <w:vertAlign w:val="subscript"/>
        </w:rPr>
        <w:t>оп-оф</w:t>
      </w:r>
      <w:r>
        <w:t xml:space="preserve"> = S</w:t>
      </w:r>
      <w:r>
        <w:rPr>
          <w:vertAlign w:val="subscript"/>
        </w:rPr>
        <w:t>оф</w:t>
      </w:r>
      <w:r>
        <w:t xml:space="preserve"> · S</w:t>
      </w:r>
      <w:r>
        <w:rPr>
          <w:vertAlign w:val="subscript"/>
        </w:rPr>
        <w:t>оп</w:t>
      </w:r>
      <w:r>
        <w:t xml:space="preserve"> / S</w:t>
      </w:r>
      <w:r>
        <w:rPr>
          <w:vertAlign w:val="subscript"/>
        </w:rPr>
        <w:t>исп</w:t>
      </w:r>
      <w:r>
        <w:t>.</w:t>
      </w:r>
    </w:p>
    <w:p w:rsidR="008E5851" w:rsidRDefault="008E5851">
      <w:pPr>
        <w:pStyle w:val="ConsPlusNormal"/>
        <w:ind w:firstLine="540"/>
        <w:jc w:val="both"/>
      </w:pPr>
    </w:p>
    <w:p w:rsidR="008E5851" w:rsidRDefault="008E5851">
      <w:pPr>
        <w:pStyle w:val="ConsPlusNormal"/>
        <w:ind w:firstLine="540"/>
        <w:jc w:val="both"/>
      </w:pPr>
      <w:r>
        <w:t>7. При определении доли помещений общего пользования, используемых для осуществления каждого из видов деятельности (S</w:t>
      </w:r>
      <w:r>
        <w:rPr>
          <w:vertAlign w:val="subscript"/>
        </w:rPr>
        <w:t>оп.-оф</w:t>
      </w:r>
      <w:r>
        <w:t>, S</w:t>
      </w:r>
      <w:r>
        <w:rPr>
          <w:vertAlign w:val="subscript"/>
        </w:rPr>
        <w:t>оп.-пит</w:t>
      </w:r>
      <w:r>
        <w:t>, S</w:t>
      </w:r>
      <w:r>
        <w:rPr>
          <w:vertAlign w:val="subscript"/>
        </w:rPr>
        <w:t>оп.-быт</w:t>
      </w:r>
      <w:r>
        <w:t>, S</w:t>
      </w:r>
      <w:r>
        <w:rPr>
          <w:vertAlign w:val="subscript"/>
        </w:rPr>
        <w:t>оп.-торг</w:t>
      </w:r>
      <w:r>
        <w:t>), размер площади помещений общего пользования (S</w:t>
      </w:r>
      <w:r>
        <w:rPr>
          <w:vertAlign w:val="subscript"/>
        </w:rPr>
        <w:t>оп</w:t>
      </w:r>
      <w:r>
        <w:t>) рассчитывается для каждой части здания (строения, сооружения) и относится только к полезной нежилой площади, расположенной в данной части здания (строения, сооружения).</w:t>
      </w:r>
    </w:p>
    <w:p w:rsidR="008E5851" w:rsidRDefault="008E5851">
      <w:pPr>
        <w:pStyle w:val="ConsPlusNormal"/>
        <w:spacing w:before="220"/>
        <w:ind w:firstLine="540"/>
        <w:jc w:val="both"/>
      </w:pPr>
      <w:r>
        <w:lastRenderedPageBreak/>
        <w:t>8. При отсутствии полезной нежилой площади в соответствующей части здания (строения, сооружения), где расположено помещение общего пользования, или при использовании помещения общего пользования всеми собственниками (владельцами, пользователями) здания (строения, сооружения) размер площади помещения общего пользования относится ко всей полезной нежилой площади здания (строения, сооружения).</w:t>
      </w:r>
    </w:p>
    <w:p w:rsidR="008E5851" w:rsidRDefault="008E5851">
      <w:pPr>
        <w:pStyle w:val="ConsPlusNormal"/>
        <w:spacing w:before="220"/>
        <w:ind w:firstLine="540"/>
        <w:jc w:val="both"/>
      </w:pPr>
      <w:bookmarkStart w:id="6" w:name="P141"/>
      <w:bookmarkEnd w:id="6"/>
      <w:r>
        <w:t>9. При использовании помещения общего пользования, расположенного в одной части здания (строения, сооружения), только собственниками (владельцами, пользователями) полезной нежилой площади, расположенной в другой (других) части (частях) здания (строения, сооружения), размер площади помещения общего пользования относится к полезной нежилой площади таких собственников (владельцев, пользователей).</w:t>
      </w:r>
    </w:p>
    <w:p w:rsidR="008E5851" w:rsidRDefault="008E5851">
      <w:pPr>
        <w:pStyle w:val="ConsPlusNormal"/>
        <w:spacing w:before="220"/>
        <w:ind w:firstLine="540"/>
        <w:jc w:val="both"/>
      </w:pPr>
      <w:bookmarkStart w:id="7" w:name="P142"/>
      <w:bookmarkEnd w:id="7"/>
      <w:r>
        <w:t xml:space="preserve">10. На основании данных, определенных в соответствии с </w:t>
      </w:r>
      <w:hyperlink w:anchor="P131" w:history="1">
        <w:r>
          <w:rPr>
            <w:color w:val="0000FF"/>
          </w:rPr>
          <w:t>пунктами 5</w:t>
        </w:r>
      </w:hyperlink>
      <w:r>
        <w:t>-</w:t>
      </w:r>
      <w:hyperlink w:anchor="P141" w:history="1">
        <w:r>
          <w:rPr>
            <w:color w:val="0000FF"/>
          </w:rPr>
          <w:t>9</w:t>
        </w:r>
      </w:hyperlink>
      <w:r>
        <w:t xml:space="preserve"> настоящей методики, определяется размер фактической площади объекта нежилого фонда, используемой при осуществлении каждого из видов деятельности (S</w:t>
      </w:r>
      <w:r>
        <w:rPr>
          <w:vertAlign w:val="subscript"/>
        </w:rPr>
        <w:t>факт.-оф</w:t>
      </w:r>
      <w:r>
        <w:t>, S</w:t>
      </w:r>
      <w:r>
        <w:rPr>
          <w:vertAlign w:val="subscript"/>
        </w:rPr>
        <w:t>факт.-пит</w:t>
      </w:r>
      <w:r>
        <w:t>, S</w:t>
      </w:r>
      <w:r>
        <w:rPr>
          <w:vertAlign w:val="subscript"/>
        </w:rPr>
        <w:t>факт.-быт</w:t>
      </w:r>
      <w:r>
        <w:t>, S</w:t>
      </w:r>
      <w:r>
        <w:rPr>
          <w:vertAlign w:val="subscript"/>
        </w:rPr>
        <w:t>факт.-торг</w:t>
      </w:r>
      <w:r>
        <w:t>), рассчитываемый как сумма площади, используемой для осуществления каждого из видов деятельности (S</w:t>
      </w:r>
      <w:r>
        <w:rPr>
          <w:vertAlign w:val="subscript"/>
        </w:rPr>
        <w:t>оф</w:t>
      </w:r>
      <w:r>
        <w:t>, S</w:t>
      </w:r>
      <w:r>
        <w:rPr>
          <w:vertAlign w:val="subscript"/>
        </w:rPr>
        <w:t>пит</w:t>
      </w:r>
      <w:r>
        <w:t>, S</w:t>
      </w:r>
      <w:r>
        <w:rPr>
          <w:vertAlign w:val="subscript"/>
        </w:rPr>
        <w:t>быт</w:t>
      </w:r>
      <w:r>
        <w:t>, S</w:t>
      </w:r>
      <w:r>
        <w:rPr>
          <w:vertAlign w:val="subscript"/>
        </w:rPr>
        <w:t>торг</w:t>
      </w:r>
      <w:r>
        <w:t>), и соответствующей площади помещений общего пользования, используемых для осуществления каждого из видов деятельности (S</w:t>
      </w:r>
      <w:r>
        <w:rPr>
          <w:vertAlign w:val="subscript"/>
        </w:rPr>
        <w:t>оп.-оф</w:t>
      </w:r>
      <w:r>
        <w:t>, S</w:t>
      </w:r>
      <w:r>
        <w:rPr>
          <w:vertAlign w:val="subscript"/>
        </w:rPr>
        <w:t>оп.-пит</w:t>
      </w:r>
      <w:r>
        <w:t>, S</w:t>
      </w:r>
      <w:r>
        <w:rPr>
          <w:vertAlign w:val="subscript"/>
        </w:rPr>
        <w:t>оп.-быт</w:t>
      </w:r>
      <w:r>
        <w:t>, S</w:t>
      </w:r>
      <w:r>
        <w:rPr>
          <w:vertAlign w:val="subscript"/>
        </w:rPr>
        <w:t>оп.-торг</w:t>
      </w:r>
      <w:r>
        <w:t>):</w:t>
      </w:r>
    </w:p>
    <w:p w:rsidR="008E5851" w:rsidRDefault="008E5851">
      <w:pPr>
        <w:pStyle w:val="ConsPlusNormal"/>
        <w:ind w:firstLine="540"/>
        <w:jc w:val="both"/>
      </w:pPr>
    </w:p>
    <w:p w:rsidR="008E5851" w:rsidRDefault="008E5851">
      <w:pPr>
        <w:pStyle w:val="ConsPlusNormal"/>
        <w:jc w:val="center"/>
      </w:pPr>
      <w:r>
        <w:t>S</w:t>
      </w:r>
      <w:r>
        <w:rPr>
          <w:vertAlign w:val="subscript"/>
        </w:rPr>
        <w:t>факт.-оф</w:t>
      </w:r>
      <w:r>
        <w:t xml:space="preserve"> = S</w:t>
      </w:r>
      <w:r>
        <w:rPr>
          <w:vertAlign w:val="subscript"/>
        </w:rPr>
        <w:t>оф</w:t>
      </w:r>
      <w:r>
        <w:t xml:space="preserve"> + S</w:t>
      </w:r>
      <w:r>
        <w:rPr>
          <w:vertAlign w:val="subscript"/>
        </w:rPr>
        <w:t>оп.-оф</w:t>
      </w:r>
      <w:r>
        <w:t>.</w:t>
      </w:r>
    </w:p>
    <w:p w:rsidR="008E5851" w:rsidRDefault="008E5851">
      <w:pPr>
        <w:pStyle w:val="ConsPlusNormal"/>
        <w:ind w:firstLine="540"/>
        <w:jc w:val="both"/>
      </w:pPr>
    </w:p>
    <w:p w:rsidR="008E5851" w:rsidRDefault="008E5851">
      <w:pPr>
        <w:pStyle w:val="ConsPlusNormal"/>
        <w:ind w:firstLine="540"/>
        <w:jc w:val="both"/>
      </w:pPr>
      <w:bookmarkStart w:id="8" w:name="P146"/>
      <w:bookmarkEnd w:id="8"/>
      <w:r>
        <w:t>11. В случае, если в здании (строении, сооружении) расположено несколько нежилых помещений, используемых при осуществлении одного и того же вида деятельности (например, S</w:t>
      </w:r>
      <w:r>
        <w:rPr>
          <w:vertAlign w:val="subscript"/>
        </w:rPr>
        <w:t>оф1</w:t>
      </w:r>
      <w:r>
        <w:t>, S</w:t>
      </w:r>
      <w:r>
        <w:rPr>
          <w:vertAlign w:val="subscript"/>
        </w:rPr>
        <w:t>оф2</w:t>
      </w:r>
      <w:r>
        <w:t>, S</w:t>
      </w:r>
      <w:r>
        <w:rPr>
          <w:vertAlign w:val="subscript"/>
        </w:rPr>
        <w:t>оф3</w:t>
      </w:r>
      <w:r>
        <w:t>), размер фактической площади всего объекта нежилого фонда, используемой при осуществлении каждого из видов деятельности (например, S</w:t>
      </w:r>
      <w:r>
        <w:rPr>
          <w:vertAlign w:val="subscript"/>
        </w:rPr>
        <w:t>факт.-оф</w:t>
      </w:r>
      <w:r>
        <w:t>), рассчитывается как сумма фактических площадей объекта нежилого фонда, используемых при осуществлении каждого из однородных видов деятельности (например, S</w:t>
      </w:r>
      <w:r>
        <w:rPr>
          <w:vertAlign w:val="subscript"/>
        </w:rPr>
        <w:t>факт.-оф1</w:t>
      </w:r>
      <w:r>
        <w:t>, S</w:t>
      </w:r>
      <w:r>
        <w:rPr>
          <w:vertAlign w:val="subscript"/>
        </w:rPr>
        <w:t>факт.-оф2</w:t>
      </w:r>
      <w:r>
        <w:t>, S</w:t>
      </w:r>
      <w:r>
        <w:rPr>
          <w:vertAlign w:val="subscript"/>
        </w:rPr>
        <w:t>факт.-оф3</w:t>
      </w:r>
      <w:r>
        <w:t>), например:</w:t>
      </w:r>
    </w:p>
    <w:p w:rsidR="008E5851" w:rsidRDefault="008E5851">
      <w:pPr>
        <w:pStyle w:val="ConsPlusNormal"/>
        <w:ind w:firstLine="540"/>
        <w:jc w:val="both"/>
      </w:pPr>
    </w:p>
    <w:p w:rsidR="008E5851" w:rsidRDefault="008E5851">
      <w:pPr>
        <w:pStyle w:val="ConsPlusNormal"/>
        <w:jc w:val="center"/>
      </w:pPr>
      <w:r>
        <w:t>S</w:t>
      </w:r>
      <w:r>
        <w:rPr>
          <w:vertAlign w:val="subscript"/>
        </w:rPr>
        <w:t>(факт.-оф)</w:t>
      </w:r>
      <w:r>
        <w:t xml:space="preserve"> = S</w:t>
      </w:r>
      <w:r>
        <w:rPr>
          <w:vertAlign w:val="subscript"/>
        </w:rPr>
        <w:t>факт.-оф1</w:t>
      </w:r>
      <w:r>
        <w:t xml:space="preserve"> + S</w:t>
      </w:r>
      <w:r>
        <w:rPr>
          <w:vertAlign w:val="subscript"/>
        </w:rPr>
        <w:t>факт.-оф2</w:t>
      </w:r>
      <w:r>
        <w:t xml:space="preserve"> + S</w:t>
      </w:r>
      <w:r>
        <w:rPr>
          <w:vertAlign w:val="subscript"/>
        </w:rPr>
        <w:t>факт.-оф3</w:t>
      </w:r>
      <w:r>
        <w:t>.</w:t>
      </w:r>
    </w:p>
    <w:p w:rsidR="008E5851" w:rsidRDefault="008E5851">
      <w:pPr>
        <w:pStyle w:val="ConsPlusNormal"/>
        <w:ind w:firstLine="540"/>
        <w:jc w:val="both"/>
      </w:pPr>
    </w:p>
    <w:p w:rsidR="008E5851" w:rsidRDefault="008E5851">
      <w:pPr>
        <w:pStyle w:val="ConsPlusNormal"/>
        <w:ind w:firstLine="540"/>
        <w:jc w:val="both"/>
      </w:pPr>
      <w:bookmarkStart w:id="9" w:name="P150"/>
      <w:bookmarkEnd w:id="9"/>
      <w:r>
        <w:t xml:space="preserve">12. На основании данных, определенных в соответствии с </w:t>
      </w:r>
      <w:hyperlink w:anchor="P142" w:history="1">
        <w:r>
          <w:rPr>
            <w:color w:val="0000FF"/>
          </w:rPr>
          <w:t>пунктами 10</w:t>
        </w:r>
      </w:hyperlink>
      <w:r>
        <w:t xml:space="preserve">, </w:t>
      </w:r>
      <w:hyperlink w:anchor="P146" w:history="1">
        <w:r>
          <w:rPr>
            <w:color w:val="0000FF"/>
          </w:rPr>
          <w:t>11</w:t>
        </w:r>
      </w:hyperlink>
      <w:r>
        <w:t xml:space="preserve"> настоящей методики, рассчитывается доля в процентах фактической площади объекта нежилого фонда, используемой для осуществления каждого из видов деятельности (S</w:t>
      </w:r>
      <w:r>
        <w:rPr>
          <w:vertAlign w:val="subscript"/>
        </w:rPr>
        <w:t>факт-оф</w:t>
      </w:r>
      <w:r>
        <w:t>, S</w:t>
      </w:r>
      <w:r>
        <w:rPr>
          <w:vertAlign w:val="subscript"/>
        </w:rPr>
        <w:t>факт-пит</w:t>
      </w:r>
      <w:r>
        <w:t>, S</w:t>
      </w:r>
      <w:r>
        <w:rPr>
          <w:vertAlign w:val="subscript"/>
        </w:rPr>
        <w:t>факт-быт</w:t>
      </w:r>
      <w:r>
        <w:t>, S</w:t>
      </w:r>
      <w:r>
        <w:rPr>
          <w:vertAlign w:val="subscript"/>
        </w:rPr>
        <w:t>факт-торг</w:t>
      </w:r>
      <w:r>
        <w:t>), в общей площади объекта нежилого фонда (S</w:t>
      </w:r>
      <w:r>
        <w:rPr>
          <w:vertAlign w:val="subscript"/>
        </w:rPr>
        <w:t>общ</w:t>
      </w:r>
      <w:r>
        <w:t>), например:</w:t>
      </w:r>
    </w:p>
    <w:p w:rsidR="008E5851" w:rsidRDefault="008E5851">
      <w:pPr>
        <w:pStyle w:val="ConsPlusNormal"/>
        <w:ind w:firstLine="540"/>
        <w:jc w:val="both"/>
      </w:pPr>
    </w:p>
    <w:p w:rsidR="008E5851" w:rsidRDefault="008E5851">
      <w:pPr>
        <w:pStyle w:val="ConsPlusNormal"/>
        <w:jc w:val="center"/>
      </w:pPr>
      <w:r>
        <w:t>S</w:t>
      </w:r>
      <w:r>
        <w:rPr>
          <w:vertAlign w:val="subscript"/>
        </w:rPr>
        <w:t>(факт.-оф)</w:t>
      </w:r>
      <w:r>
        <w:t>% = S</w:t>
      </w:r>
      <w:r>
        <w:rPr>
          <w:vertAlign w:val="subscript"/>
        </w:rPr>
        <w:t>(факт.-оф)</w:t>
      </w:r>
      <w:r>
        <w:t xml:space="preserve"> / S</w:t>
      </w:r>
      <w:r>
        <w:rPr>
          <w:vertAlign w:val="subscript"/>
        </w:rPr>
        <w:t>общ</w:t>
      </w:r>
      <w:r>
        <w:t xml:space="preserve"> · 100%.</w:t>
      </w:r>
    </w:p>
    <w:p w:rsidR="008E5851" w:rsidRDefault="008E5851">
      <w:pPr>
        <w:pStyle w:val="ConsPlusNormal"/>
        <w:ind w:firstLine="540"/>
        <w:jc w:val="both"/>
      </w:pPr>
    </w:p>
    <w:p w:rsidR="008E5851" w:rsidRDefault="008E5851">
      <w:pPr>
        <w:pStyle w:val="ConsPlusNormal"/>
        <w:ind w:firstLine="540"/>
        <w:jc w:val="both"/>
      </w:pPr>
      <w:r>
        <w:t>13. Доли (S</w:t>
      </w:r>
      <w:r>
        <w:rPr>
          <w:vertAlign w:val="subscript"/>
        </w:rPr>
        <w:t>(факт.-оф)</w:t>
      </w:r>
      <w:r>
        <w:t>, S</w:t>
      </w:r>
      <w:r>
        <w:rPr>
          <w:vertAlign w:val="subscript"/>
        </w:rPr>
        <w:t>(факт.-пит)</w:t>
      </w:r>
      <w:r>
        <w:t>, S</w:t>
      </w:r>
      <w:r>
        <w:rPr>
          <w:vertAlign w:val="subscript"/>
        </w:rPr>
        <w:t>(факт.-быт)</w:t>
      </w:r>
      <w:r>
        <w:t>, S</w:t>
      </w:r>
      <w:r>
        <w:rPr>
          <w:vertAlign w:val="subscript"/>
        </w:rPr>
        <w:t>(факт.-торг)</w:t>
      </w:r>
      <w:r>
        <w:t xml:space="preserve">), рассчитанные в соответствии с </w:t>
      </w:r>
      <w:hyperlink w:anchor="P150" w:history="1">
        <w:r>
          <w:rPr>
            <w:color w:val="0000FF"/>
          </w:rPr>
          <w:t>пунктом 12</w:t>
        </w:r>
      </w:hyperlink>
      <w:r>
        <w:t xml:space="preserve"> настоящей методики, суммируются для определения вида фактического использования объекта нежилого фонда:</w:t>
      </w:r>
    </w:p>
    <w:p w:rsidR="008E5851" w:rsidRDefault="008E5851">
      <w:pPr>
        <w:pStyle w:val="ConsPlusNormal"/>
        <w:ind w:firstLine="540"/>
        <w:jc w:val="both"/>
      </w:pPr>
    </w:p>
    <w:p w:rsidR="008E5851" w:rsidRDefault="008E5851">
      <w:pPr>
        <w:pStyle w:val="ConsPlusNormal"/>
        <w:jc w:val="center"/>
      </w:pPr>
      <w:r>
        <w:t>SUM S = S</w:t>
      </w:r>
      <w:r>
        <w:rPr>
          <w:vertAlign w:val="subscript"/>
        </w:rPr>
        <w:t>(факт.-оф)</w:t>
      </w:r>
      <w:r>
        <w:t xml:space="preserve"> + S</w:t>
      </w:r>
      <w:r>
        <w:rPr>
          <w:vertAlign w:val="subscript"/>
        </w:rPr>
        <w:t>(факт.-пит)</w:t>
      </w:r>
      <w:r>
        <w:t xml:space="preserve"> + S</w:t>
      </w:r>
      <w:r>
        <w:rPr>
          <w:vertAlign w:val="subscript"/>
        </w:rPr>
        <w:t>(факт.-быт)</w:t>
      </w:r>
      <w:r>
        <w:t xml:space="preserve"> +</w:t>
      </w:r>
    </w:p>
    <w:p w:rsidR="008E5851" w:rsidRDefault="008E5851">
      <w:pPr>
        <w:pStyle w:val="ConsPlusNormal"/>
        <w:jc w:val="center"/>
      </w:pPr>
      <w:r>
        <w:t>+ S</w:t>
      </w:r>
      <w:r>
        <w:rPr>
          <w:vertAlign w:val="subscript"/>
        </w:rPr>
        <w:t>(факт.-торг)</w:t>
      </w:r>
      <w:r>
        <w:t>.</w:t>
      </w: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jc w:val="right"/>
        <w:outlineLvl w:val="1"/>
      </w:pPr>
      <w:r>
        <w:t>Приложение N 2</w:t>
      </w:r>
    </w:p>
    <w:p w:rsidR="008E5851" w:rsidRDefault="008E5851">
      <w:pPr>
        <w:pStyle w:val="ConsPlusNormal"/>
        <w:jc w:val="right"/>
      </w:pPr>
      <w:r>
        <w:t>к порядку определения вида</w:t>
      </w:r>
    </w:p>
    <w:p w:rsidR="008E5851" w:rsidRDefault="008E5851">
      <w:pPr>
        <w:pStyle w:val="ConsPlusNormal"/>
        <w:jc w:val="right"/>
      </w:pPr>
      <w:r>
        <w:t>фактического использования зданий</w:t>
      </w:r>
    </w:p>
    <w:p w:rsidR="008E5851" w:rsidRDefault="008E5851">
      <w:pPr>
        <w:pStyle w:val="ConsPlusNormal"/>
        <w:jc w:val="right"/>
      </w:pPr>
      <w:r>
        <w:t>(строений, сооружений) и помещений,</w:t>
      </w:r>
    </w:p>
    <w:p w:rsidR="008E5851" w:rsidRDefault="008E5851">
      <w:pPr>
        <w:pStyle w:val="ConsPlusNormal"/>
        <w:jc w:val="right"/>
      </w:pPr>
      <w:r>
        <w:t>расположенных на территории</w:t>
      </w:r>
    </w:p>
    <w:p w:rsidR="008E5851" w:rsidRDefault="008E5851">
      <w:pPr>
        <w:pStyle w:val="ConsPlusNormal"/>
        <w:jc w:val="right"/>
      </w:pPr>
      <w:r>
        <w:t>Калининградской области,</w:t>
      </w:r>
    </w:p>
    <w:p w:rsidR="008E5851" w:rsidRDefault="008E5851">
      <w:pPr>
        <w:pStyle w:val="ConsPlusNormal"/>
        <w:jc w:val="right"/>
      </w:pPr>
      <w:r>
        <w:lastRenderedPageBreak/>
        <w:t>для целей налогообложения</w:t>
      </w:r>
    </w:p>
    <w:p w:rsidR="008E5851" w:rsidRDefault="008E5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E5851">
        <w:trPr>
          <w:jc w:val="center"/>
        </w:trPr>
        <w:tc>
          <w:tcPr>
            <w:tcW w:w="9294" w:type="dxa"/>
            <w:tcBorders>
              <w:top w:val="nil"/>
              <w:left w:val="single" w:sz="24" w:space="0" w:color="CED3F1"/>
              <w:bottom w:val="nil"/>
              <w:right w:val="single" w:sz="24" w:space="0" w:color="F4F3F8"/>
            </w:tcBorders>
            <w:shd w:val="clear" w:color="auto" w:fill="F4F3F8"/>
          </w:tcPr>
          <w:p w:rsidR="008E5851" w:rsidRDefault="008E5851">
            <w:pPr>
              <w:pStyle w:val="ConsPlusNormal"/>
              <w:jc w:val="center"/>
            </w:pPr>
            <w:r>
              <w:rPr>
                <w:color w:val="392C69"/>
              </w:rPr>
              <w:t>Список изменяющих документов</w:t>
            </w:r>
          </w:p>
          <w:p w:rsidR="008E5851" w:rsidRDefault="008E5851">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Калининградской области</w:t>
            </w:r>
          </w:p>
          <w:p w:rsidR="008E5851" w:rsidRDefault="008E5851">
            <w:pPr>
              <w:pStyle w:val="ConsPlusNormal"/>
              <w:jc w:val="center"/>
            </w:pPr>
            <w:r>
              <w:rPr>
                <w:color w:val="392C69"/>
              </w:rPr>
              <w:t>от 19.04.2018 N 233)</w:t>
            </w:r>
          </w:p>
        </w:tc>
      </w:tr>
    </w:tbl>
    <w:p w:rsidR="008E5851" w:rsidRDefault="008E585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E5851">
        <w:trPr>
          <w:jc w:val="center"/>
        </w:trPr>
        <w:tc>
          <w:tcPr>
            <w:tcW w:w="9294" w:type="dxa"/>
            <w:tcBorders>
              <w:top w:val="nil"/>
              <w:left w:val="single" w:sz="24" w:space="0" w:color="CED3F1"/>
              <w:bottom w:val="nil"/>
              <w:right w:val="single" w:sz="24" w:space="0" w:color="F4F3F8"/>
            </w:tcBorders>
            <w:shd w:val="clear" w:color="auto" w:fill="F4F3F8"/>
          </w:tcPr>
          <w:p w:rsidR="008E5851" w:rsidRDefault="008E5851">
            <w:pPr>
              <w:pStyle w:val="ConsPlusNormal"/>
              <w:jc w:val="both"/>
            </w:pPr>
            <w:r>
              <w:rPr>
                <w:color w:val="392C69"/>
              </w:rPr>
              <w:t>КонсультантПлюс: примечание.</w:t>
            </w:r>
          </w:p>
          <w:p w:rsidR="008E5851" w:rsidRDefault="008E5851">
            <w:pPr>
              <w:pStyle w:val="ConsPlusNormal"/>
              <w:jc w:val="both"/>
            </w:pPr>
            <w:r>
              <w:rPr>
                <w:color w:val="392C69"/>
              </w:rPr>
              <w:t>В официальном тексте документа, видимо, допущена опечатка: одно и то же слово "здания" повторяется дважды.</w:t>
            </w:r>
          </w:p>
        </w:tc>
      </w:tr>
    </w:tbl>
    <w:p w:rsidR="008E5851" w:rsidRDefault="008E5851">
      <w:pPr>
        <w:pStyle w:val="ConsPlusNonformat"/>
        <w:jc w:val="both"/>
      </w:pPr>
      <w:bookmarkStart w:id="10" w:name="P176"/>
      <w:bookmarkEnd w:id="10"/>
      <w:r>
        <w:t xml:space="preserve">                                   АКТ N</w:t>
      </w:r>
    </w:p>
    <w:p w:rsidR="008E5851" w:rsidRDefault="008E5851">
      <w:pPr>
        <w:pStyle w:val="ConsPlusNonformat"/>
        <w:jc w:val="both"/>
      </w:pPr>
      <w:r>
        <w:t xml:space="preserve">                    о фактическом использовании здания</w:t>
      </w:r>
    </w:p>
    <w:p w:rsidR="008E5851" w:rsidRDefault="008E5851">
      <w:pPr>
        <w:pStyle w:val="ConsPlusNonformat"/>
        <w:jc w:val="both"/>
      </w:pPr>
      <w:r>
        <w:t xml:space="preserve">          здания (строения, сооружения) и помещения, в отношении</w:t>
      </w:r>
    </w:p>
    <w:p w:rsidR="008E5851" w:rsidRDefault="008E5851">
      <w:pPr>
        <w:pStyle w:val="ConsPlusNonformat"/>
        <w:jc w:val="both"/>
      </w:pPr>
      <w:r>
        <w:t xml:space="preserve">      которого налоговая база определяется как кадастровая стоимость</w:t>
      </w:r>
    </w:p>
    <w:p w:rsidR="008E5851" w:rsidRDefault="008E5851">
      <w:pPr>
        <w:pStyle w:val="ConsPlusNonformat"/>
        <w:jc w:val="both"/>
      </w:pPr>
    </w:p>
    <w:p w:rsidR="008E5851" w:rsidRDefault="008E5851">
      <w:pPr>
        <w:pStyle w:val="ConsPlusNonformat"/>
        <w:jc w:val="both"/>
      </w:pPr>
      <w:r>
        <w:t>"___" ____________ 20__ года</w:t>
      </w:r>
    </w:p>
    <w:p w:rsidR="008E5851" w:rsidRDefault="008E5851">
      <w:pPr>
        <w:pStyle w:val="ConsPlusNonformat"/>
        <w:jc w:val="both"/>
      </w:pPr>
      <w:r>
        <w:t xml:space="preserve">                                          _________________________________</w:t>
      </w:r>
    </w:p>
    <w:p w:rsidR="008E5851" w:rsidRDefault="008E5851">
      <w:pPr>
        <w:pStyle w:val="ConsPlusNonformat"/>
        <w:jc w:val="both"/>
      </w:pPr>
      <w:r>
        <w:t xml:space="preserve">                                          (наименование населенного пункта)</w:t>
      </w:r>
    </w:p>
    <w:p w:rsidR="008E5851" w:rsidRDefault="008E585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8E5851">
        <w:tc>
          <w:tcPr>
            <w:tcW w:w="9063" w:type="dxa"/>
            <w:tcBorders>
              <w:left w:val="single" w:sz="4" w:space="0" w:color="auto"/>
              <w:right w:val="single" w:sz="4" w:space="0" w:color="auto"/>
            </w:tcBorders>
          </w:tcPr>
          <w:p w:rsidR="008E5851" w:rsidRDefault="008E5851">
            <w:pPr>
              <w:pStyle w:val="ConsPlusNormal"/>
            </w:pPr>
          </w:p>
        </w:tc>
      </w:tr>
      <w:tr w:rsidR="008E5851">
        <w:tc>
          <w:tcPr>
            <w:tcW w:w="9063" w:type="dxa"/>
            <w:tcBorders>
              <w:left w:val="single" w:sz="4" w:space="0" w:color="auto"/>
              <w:right w:val="single" w:sz="4" w:space="0" w:color="auto"/>
            </w:tcBorders>
            <w:vAlign w:val="center"/>
          </w:tcPr>
          <w:p w:rsidR="008E5851" w:rsidRDefault="008E5851">
            <w:pPr>
              <w:pStyle w:val="ConsPlusNormal"/>
              <w:jc w:val="center"/>
            </w:pPr>
            <w:r>
              <w:t>(наименование объекта в соответствии с техническим и кадастровым паспортом)</w:t>
            </w:r>
          </w:p>
        </w:tc>
      </w:tr>
      <w:tr w:rsidR="008E5851">
        <w:tc>
          <w:tcPr>
            <w:tcW w:w="9063" w:type="dxa"/>
            <w:tcBorders>
              <w:left w:val="single" w:sz="4" w:space="0" w:color="auto"/>
              <w:right w:val="single" w:sz="4" w:space="0" w:color="auto"/>
            </w:tcBorders>
            <w:vAlign w:val="bottom"/>
          </w:tcPr>
          <w:p w:rsidR="008E5851" w:rsidRDefault="008E5851">
            <w:pPr>
              <w:pStyle w:val="ConsPlusNormal"/>
              <w:jc w:val="center"/>
            </w:pPr>
            <w:r>
              <w:t>Адрес (местоположение) объекта</w:t>
            </w:r>
          </w:p>
        </w:tc>
      </w:tr>
      <w:tr w:rsidR="008E5851">
        <w:tc>
          <w:tcPr>
            <w:tcW w:w="9063" w:type="dxa"/>
            <w:tcBorders>
              <w:left w:val="single" w:sz="4" w:space="0" w:color="auto"/>
              <w:right w:val="single" w:sz="4" w:space="0" w:color="auto"/>
            </w:tcBorders>
            <w:vAlign w:val="center"/>
          </w:tcPr>
          <w:p w:rsidR="008E5851" w:rsidRDefault="008E5851">
            <w:pPr>
              <w:pStyle w:val="ConsPlusNormal"/>
            </w:pPr>
            <w:r>
              <w:t>Область:</w:t>
            </w:r>
          </w:p>
        </w:tc>
      </w:tr>
      <w:tr w:rsidR="008E5851">
        <w:tc>
          <w:tcPr>
            <w:tcW w:w="9063" w:type="dxa"/>
            <w:tcBorders>
              <w:left w:val="single" w:sz="4" w:space="0" w:color="auto"/>
              <w:right w:val="single" w:sz="4" w:space="0" w:color="auto"/>
            </w:tcBorders>
            <w:vAlign w:val="center"/>
          </w:tcPr>
          <w:p w:rsidR="008E5851" w:rsidRDefault="008E5851">
            <w:pPr>
              <w:pStyle w:val="ConsPlusNormal"/>
            </w:pPr>
            <w:r>
              <w:t>Район:</w:t>
            </w:r>
          </w:p>
        </w:tc>
      </w:tr>
      <w:tr w:rsidR="008E5851">
        <w:tc>
          <w:tcPr>
            <w:tcW w:w="9063" w:type="dxa"/>
            <w:tcBorders>
              <w:left w:val="single" w:sz="4" w:space="0" w:color="auto"/>
              <w:right w:val="single" w:sz="4" w:space="0" w:color="auto"/>
            </w:tcBorders>
            <w:vAlign w:val="bottom"/>
          </w:tcPr>
          <w:p w:rsidR="008E5851" w:rsidRDefault="008E5851">
            <w:pPr>
              <w:pStyle w:val="ConsPlusNormal"/>
            </w:pPr>
            <w:r>
              <w:t>Город, поселок, село:</w:t>
            </w:r>
          </w:p>
        </w:tc>
      </w:tr>
      <w:tr w:rsidR="008E5851">
        <w:tc>
          <w:tcPr>
            <w:tcW w:w="9063" w:type="dxa"/>
            <w:tcBorders>
              <w:left w:val="single" w:sz="4" w:space="0" w:color="auto"/>
              <w:right w:val="single" w:sz="4" w:space="0" w:color="auto"/>
            </w:tcBorders>
            <w:vAlign w:val="bottom"/>
          </w:tcPr>
          <w:p w:rsidR="008E5851" w:rsidRDefault="008E5851">
            <w:pPr>
              <w:pStyle w:val="ConsPlusNormal"/>
            </w:pPr>
            <w:r>
              <w:t>Улица (переулок):</w:t>
            </w:r>
          </w:p>
        </w:tc>
      </w:tr>
      <w:tr w:rsidR="008E5851">
        <w:tc>
          <w:tcPr>
            <w:tcW w:w="9063" w:type="dxa"/>
            <w:tcBorders>
              <w:left w:val="single" w:sz="4" w:space="0" w:color="auto"/>
              <w:right w:val="single" w:sz="4" w:space="0" w:color="auto"/>
            </w:tcBorders>
            <w:vAlign w:val="bottom"/>
          </w:tcPr>
          <w:p w:rsidR="008E5851" w:rsidRDefault="008E5851">
            <w:pPr>
              <w:pStyle w:val="ConsPlusNormal"/>
            </w:pPr>
            <w:r>
              <w:t>Дом N:</w:t>
            </w:r>
          </w:p>
        </w:tc>
      </w:tr>
      <w:tr w:rsidR="008E5851">
        <w:tc>
          <w:tcPr>
            <w:tcW w:w="9063" w:type="dxa"/>
            <w:tcBorders>
              <w:left w:val="single" w:sz="4" w:space="0" w:color="auto"/>
              <w:right w:val="single" w:sz="4" w:space="0" w:color="auto"/>
            </w:tcBorders>
            <w:vAlign w:val="bottom"/>
          </w:tcPr>
          <w:p w:rsidR="008E5851" w:rsidRDefault="008E5851">
            <w:pPr>
              <w:pStyle w:val="ConsPlusNormal"/>
            </w:pPr>
            <w:r>
              <w:t>Корпус:</w:t>
            </w:r>
          </w:p>
        </w:tc>
      </w:tr>
      <w:tr w:rsidR="008E5851">
        <w:tc>
          <w:tcPr>
            <w:tcW w:w="9063" w:type="dxa"/>
            <w:tcBorders>
              <w:left w:val="single" w:sz="4" w:space="0" w:color="auto"/>
              <w:right w:val="single" w:sz="4" w:space="0" w:color="auto"/>
            </w:tcBorders>
            <w:vAlign w:val="bottom"/>
          </w:tcPr>
          <w:p w:rsidR="008E5851" w:rsidRDefault="008E5851">
            <w:pPr>
              <w:pStyle w:val="ConsPlusNormal"/>
            </w:pPr>
            <w:r>
              <w:t>Строение:</w:t>
            </w:r>
          </w:p>
        </w:tc>
      </w:tr>
      <w:tr w:rsidR="008E5851">
        <w:tc>
          <w:tcPr>
            <w:tcW w:w="9063" w:type="dxa"/>
            <w:tcBorders>
              <w:left w:val="single" w:sz="4" w:space="0" w:color="auto"/>
              <w:right w:val="single" w:sz="4" w:space="0" w:color="auto"/>
            </w:tcBorders>
            <w:vAlign w:val="bottom"/>
          </w:tcPr>
          <w:p w:rsidR="008E5851" w:rsidRDefault="008E5851">
            <w:pPr>
              <w:pStyle w:val="ConsPlusNormal"/>
            </w:pPr>
            <w:r>
              <w:t>Собственник объекта (полное наименование, ИНН):</w:t>
            </w:r>
          </w:p>
        </w:tc>
      </w:tr>
    </w:tbl>
    <w:p w:rsidR="008E5851" w:rsidRDefault="008E5851">
      <w:pPr>
        <w:pStyle w:val="ConsPlusNormal"/>
        <w:jc w:val="both"/>
      </w:pPr>
    </w:p>
    <w:p w:rsidR="008E5851" w:rsidRDefault="008E5851">
      <w:pPr>
        <w:pStyle w:val="ConsPlusNonformat"/>
        <w:jc w:val="both"/>
      </w:pPr>
      <w:r>
        <w:t xml:space="preserve">                             1. Общие сведения</w:t>
      </w:r>
    </w:p>
    <w:p w:rsidR="008E5851" w:rsidRDefault="008E585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2"/>
        <w:gridCol w:w="5281"/>
      </w:tblGrid>
      <w:tr w:rsidR="008E5851">
        <w:tc>
          <w:tcPr>
            <w:tcW w:w="9063" w:type="dxa"/>
            <w:gridSpan w:val="2"/>
            <w:vAlign w:val="bottom"/>
          </w:tcPr>
          <w:p w:rsidR="008E5851" w:rsidRDefault="008E5851">
            <w:pPr>
              <w:pStyle w:val="ConsPlusNormal"/>
              <w:jc w:val="center"/>
            </w:pPr>
            <w:r>
              <w:t>1.1. Общие сведения о здании (строении, сооружении), помещении</w:t>
            </w:r>
          </w:p>
        </w:tc>
      </w:tr>
      <w:tr w:rsidR="008E5851">
        <w:tc>
          <w:tcPr>
            <w:tcW w:w="3782" w:type="dxa"/>
            <w:vAlign w:val="bottom"/>
          </w:tcPr>
          <w:p w:rsidR="008E5851" w:rsidRDefault="008E5851">
            <w:pPr>
              <w:pStyle w:val="ConsPlusNormal"/>
            </w:pPr>
            <w:r>
              <w:t>Кадастровый номер</w:t>
            </w:r>
          </w:p>
        </w:tc>
        <w:tc>
          <w:tcPr>
            <w:tcW w:w="5281" w:type="dxa"/>
          </w:tcPr>
          <w:p w:rsidR="008E5851" w:rsidRDefault="008E5851">
            <w:pPr>
              <w:pStyle w:val="ConsPlusNormal"/>
            </w:pPr>
          </w:p>
        </w:tc>
      </w:tr>
      <w:tr w:rsidR="008E5851">
        <w:tc>
          <w:tcPr>
            <w:tcW w:w="3782" w:type="dxa"/>
            <w:vAlign w:val="bottom"/>
          </w:tcPr>
          <w:p w:rsidR="008E5851" w:rsidRDefault="008E5851">
            <w:pPr>
              <w:pStyle w:val="ConsPlusNormal"/>
            </w:pPr>
            <w:r>
              <w:t>Общая площадь (кв. м)</w:t>
            </w:r>
          </w:p>
        </w:tc>
        <w:tc>
          <w:tcPr>
            <w:tcW w:w="5281" w:type="dxa"/>
          </w:tcPr>
          <w:p w:rsidR="008E5851" w:rsidRDefault="008E5851">
            <w:pPr>
              <w:pStyle w:val="ConsPlusNormal"/>
            </w:pPr>
          </w:p>
        </w:tc>
      </w:tr>
      <w:tr w:rsidR="008E5851">
        <w:tc>
          <w:tcPr>
            <w:tcW w:w="3782" w:type="dxa"/>
            <w:vAlign w:val="center"/>
          </w:tcPr>
          <w:p w:rsidR="008E5851" w:rsidRDefault="008E5851">
            <w:pPr>
              <w:pStyle w:val="ConsPlusNormal"/>
            </w:pPr>
            <w:r>
              <w:t>Количество этажей</w:t>
            </w:r>
          </w:p>
        </w:tc>
        <w:tc>
          <w:tcPr>
            <w:tcW w:w="5281" w:type="dxa"/>
          </w:tcPr>
          <w:p w:rsidR="008E5851" w:rsidRDefault="008E5851">
            <w:pPr>
              <w:pStyle w:val="ConsPlusNormal"/>
            </w:pPr>
          </w:p>
        </w:tc>
      </w:tr>
      <w:tr w:rsidR="008E5851">
        <w:tc>
          <w:tcPr>
            <w:tcW w:w="3782" w:type="dxa"/>
            <w:vAlign w:val="center"/>
          </w:tcPr>
          <w:p w:rsidR="008E5851" w:rsidRDefault="008E5851">
            <w:pPr>
              <w:pStyle w:val="ConsPlusNormal"/>
            </w:pPr>
            <w:r>
              <w:t>Назначение</w:t>
            </w:r>
          </w:p>
        </w:tc>
        <w:tc>
          <w:tcPr>
            <w:tcW w:w="5281" w:type="dxa"/>
          </w:tcPr>
          <w:p w:rsidR="008E5851" w:rsidRDefault="008E5851">
            <w:pPr>
              <w:pStyle w:val="ConsPlusNormal"/>
            </w:pPr>
          </w:p>
        </w:tc>
      </w:tr>
      <w:tr w:rsidR="008E5851">
        <w:tc>
          <w:tcPr>
            <w:tcW w:w="9063" w:type="dxa"/>
            <w:gridSpan w:val="2"/>
            <w:vAlign w:val="bottom"/>
          </w:tcPr>
          <w:p w:rsidR="008E5851" w:rsidRDefault="008E5851">
            <w:pPr>
              <w:pStyle w:val="ConsPlusNormal"/>
              <w:jc w:val="center"/>
            </w:pPr>
            <w:r>
              <w:t>1.2. Общие сведения о земельном участке</w:t>
            </w:r>
          </w:p>
        </w:tc>
      </w:tr>
      <w:tr w:rsidR="008E5851">
        <w:tc>
          <w:tcPr>
            <w:tcW w:w="3782" w:type="dxa"/>
            <w:vAlign w:val="bottom"/>
          </w:tcPr>
          <w:p w:rsidR="008E5851" w:rsidRDefault="008E5851">
            <w:pPr>
              <w:pStyle w:val="ConsPlusNormal"/>
            </w:pPr>
            <w:r>
              <w:t>Кадастровый номер</w:t>
            </w:r>
          </w:p>
        </w:tc>
        <w:tc>
          <w:tcPr>
            <w:tcW w:w="5281" w:type="dxa"/>
          </w:tcPr>
          <w:p w:rsidR="008E5851" w:rsidRDefault="008E5851">
            <w:pPr>
              <w:pStyle w:val="ConsPlusNormal"/>
            </w:pPr>
          </w:p>
        </w:tc>
      </w:tr>
      <w:tr w:rsidR="008E5851">
        <w:tc>
          <w:tcPr>
            <w:tcW w:w="3782" w:type="dxa"/>
            <w:vAlign w:val="bottom"/>
          </w:tcPr>
          <w:p w:rsidR="008E5851" w:rsidRDefault="008E5851">
            <w:pPr>
              <w:pStyle w:val="ConsPlusNormal"/>
            </w:pPr>
            <w:r>
              <w:lastRenderedPageBreak/>
              <w:t>Разрешенное использование</w:t>
            </w:r>
          </w:p>
        </w:tc>
        <w:tc>
          <w:tcPr>
            <w:tcW w:w="5281" w:type="dxa"/>
          </w:tcPr>
          <w:p w:rsidR="008E5851" w:rsidRDefault="008E5851">
            <w:pPr>
              <w:pStyle w:val="ConsPlusNormal"/>
            </w:pPr>
          </w:p>
        </w:tc>
      </w:tr>
      <w:tr w:rsidR="008E5851">
        <w:tc>
          <w:tcPr>
            <w:tcW w:w="3782" w:type="dxa"/>
            <w:vAlign w:val="center"/>
          </w:tcPr>
          <w:p w:rsidR="008E5851" w:rsidRDefault="008E5851">
            <w:pPr>
              <w:pStyle w:val="ConsPlusNormal"/>
            </w:pPr>
            <w:r>
              <w:t>Общая площадь (кв. м)</w:t>
            </w:r>
          </w:p>
        </w:tc>
        <w:tc>
          <w:tcPr>
            <w:tcW w:w="5281" w:type="dxa"/>
          </w:tcPr>
          <w:p w:rsidR="008E5851" w:rsidRDefault="008E5851">
            <w:pPr>
              <w:pStyle w:val="ConsPlusNormal"/>
            </w:pPr>
          </w:p>
        </w:tc>
      </w:tr>
    </w:tbl>
    <w:p w:rsidR="008E5851" w:rsidRDefault="008E5851">
      <w:pPr>
        <w:pStyle w:val="ConsPlusNormal"/>
        <w:jc w:val="both"/>
      </w:pPr>
    </w:p>
    <w:p w:rsidR="008E5851" w:rsidRDefault="008E5851">
      <w:pPr>
        <w:pStyle w:val="ConsPlusNonformat"/>
        <w:jc w:val="both"/>
      </w:pPr>
      <w:r>
        <w:t xml:space="preserve">             2. Описание фактического использования помещений</w:t>
      </w:r>
    </w:p>
    <w:p w:rsidR="008E5851" w:rsidRDefault="008E585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252"/>
        <w:gridCol w:w="1360"/>
        <w:gridCol w:w="2899"/>
      </w:tblGrid>
      <w:tr w:rsidR="008E5851">
        <w:tc>
          <w:tcPr>
            <w:tcW w:w="552" w:type="dxa"/>
          </w:tcPr>
          <w:p w:rsidR="008E5851" w:rsidRDefault="008E5851">
            <w:pPr>
              <w:pStyle w:val="ConsPlusNormal"/>
              <w:jc w:val="center"/>
            </w:pPr>
            <w:r>
              <w:t>N п/п</w:t>
            </w:r>
          </w:p>
        </w:tc>
        <w:tc>
          <w:tcPr>
            <w:tcW w:w="4252" w:type="dxa"/>
          </w:tcPr>
          <w:p w:rsidR="008E5851" w:rsidRDefault="008E5851">
            <w:pPr>
              <w:pStyle w:val="ConsPlusNormal"/>
              <w:jc w:val="center"/>
            </w:pPr>
            <w:r>
              <w:t>Наименование помещения</w:t>
            </w:r>
          </w:p>
        </w:tc>
        <w:tc>
          <w:tcPr>
            <w:tcW w:w="1360" w:type="dxa"/>
          </w:tcPr>
          <w:p w:rsidR="008E5851" w:rsidRDefault="008E5851">
            <w:pPr>
              <w:pStyle w:val="ConsPlusNormal"/>
              <w:jc w:val="center"/>
            </w:pPr>
            <w:r>
              <w:t>Площадь (кв. м)</w:t>
            </w:r>
          </w:p>
        </w:tc>
        <w:tc>
          <w:tcPr>
            <w:tcW w:w="2899" w:type="dxa"/>
          </w:tcPr>
          <w:p w:rsidR="008E5851" w:rsidRDefault="008E5851">
            <w:pPr>
              <w:pStyle w:val="ConsPlusNormal"/>
              <w:jc w:val="center"/>
            </w:pPr>
            <w:r>
              <w:t>Фактическое использование</w:t>
            </w:r>
          </w:p>
        </w:tc>
      </w:tr>
      <w:tr w:rsidR="008E5851">
        <w:tc>
          <w:tcPr>
            <w:tcW w:w="552" w:type="dxa"/>
          </w:tcPr>
          <w:p w:rsidR="008E5851" w:rsidRDefault="008E5851">
            <w:pPr>
              <w:pStyle w:val="ConsPlusNormal"/>
            </w:pPr>
          </w:p>
        </w:tc>
        <w:tc>
          <w:tcPr>
            <w:tcW w:w="4252" w:type="dxa"/>
          </w:tcPr>
          <w:p w:rsidR="008E5851" w:rsidRDefault="008E5851">
            <w:pPr>
              <w:pStyle w:val="ConsPlusNormal"/>
            </w:pPr>
          </w:p>
        </w:tc>
        <w:tc>
          <w:tcPr>
            <w:tcW w:w="1360" w:type="dxa"/>
          </w:tcPr>
          <w:p w:rsidR="008E5851" w:rsidRDefault="008E5851">
            <w:pPr>
              <w:pStyle w:val="ConsPlusNormal"/>
            </w:pPr>
          </w:p>
        </w:tc>
        <w:tc>
          <w:tcPr>
            <w:tcW w:w="2899" w:type="dxa"/>
          </w:tcPr>
          <w:p w:rsidR="008E5851" w:rsidRDefault="008E5851">
            <w:pPr>
              <w:pStyle w:val="ConsPlusNormal"/>
            </w:pPr>
          </w:p>
        </w:tc>
      </w:tr>
    </w:tbl>
    <w:p w:rsidR="008E5851" w:rsidRDefault="008E5851">
      <w:pPr>
        <w:pStyle w:val="ConsPlusNormal"/>
        <w:jc w:val="both"/>
      </w:pPr>
    </w:p>
    <w:p w:rsidR="008E5851" w:rsidRDefault="008E5851">
      <w:pPr>
        <w:pStyle w:val="ConsPlusNonformat"/>
        <w:jc w:val="both"/>
      </w:pPr>
      <w:r>
        <w:t xml:space="preserve">                 3. Заключение о фактическом использовании</w:t>
      </w:r>
    </w:p>
    <w:p w:rsidR="008E5851" w:rsidRDefault="008E5851">
      <w:pPr>
        <w:pStyle w:val="ConsPlusNonformat"/>
        <w:jc w:val="both"/>
      </w:pPr>
    </w:p>
    <w:p w:rsidR="008E5851" w:rsidRDefault="008E5851">
      <w:pPr>
        <w:pStyle w:val="ConsPlusNonformat"/>
        <w:jc w:val="both"/>
      </w:pPr>
      <w:r>
        <w:t>___________________________________________________________________________</w:t>
      </w:r>
    </w:p>
    <w:p w:rsidR="008E5851" w:rsidRDefault="008E5851">
      <w:pPr>
        <w:pStyle w:val="ConsPlusNonformat"/>
        <w:jc w:val="both"/>
      </w:pPr>
      <w:r>
        <w:t>___________________________________________________________________________</w:t>
      </w:r>
    </w:p>
    <w:p w:rsidR="008E5851" w:rsidRDefault="008E5851">
      <w:pPr>
        <w:pStyle w:val="ConsPlusNonformat"/>
        <w:jc w:val="both"/>
      </w:pPr>
      <w:r>
        <w:t>___________________________________________________________________________</w:t>
      </w:r>
    </w:p>
    <w:p w:rsidR="008E5851" w:rsidRDefault="008E5851">
      <w:pPr>
        <w:pStyle w:val="ConsPlusNonformat"/>
        <w:jc w:val="both"/>
      </w:pPr>
    </w:p>
    <w:p w:rsidR="008E5851" w:rsidRDefault="008E5851">
      <w:pPr>
        <w:pStyle w:val="ConsPlusNonformat"/>
        <w:jc w:val="both"/>
      </w:pPr>
      <w:r>
        <w:t>Подписи лиц, проводивших обследование:</w:t>
      </w:r>
    </w:p>
    <w:p w:rsidR="008E5851" w:rsidRDefault="008E5851">
      <w:pPr>
        <w:pStyle w:val="ConsPlusNonformat"/>
        <w:jc w:val="both"/>
      </w:pPr>
    </w:p>
    <w:p w:rsidR="008E5851" w:rsidRDefault="008E5851">
      <w:pPr>
        <w:pStyle w:val="ConsPlusNonformat"/>
        <w:jc w:val="both"/>
      </w:pPr>
      <w:r>
        <w:t>___________________________________________________________________________</w:t>
      </w:r>
    </w:p>
    <w:p w:rsidR="008E5851" w:rsidRDefault="008E5851">
      <w:pPr>
        <w:pStyle w:val="ConsPlusNonformat"/>
        <w:jc w:val="both"/>
      </w:pPr>
      <w:r>
        <w:t>___________________________________________________________________________</w:t>
      </w:r>
    </w:p>
    <w:p w:rsidR="008E5851" w:rsidRDefault="008E5851">
      <w:pPr>
        <w:pStyle w:val="ConsPlusNonformat"/>
        <w:jc w:val="both"/>
      </w:pPr>
      <w:r>
        <w:t>___________________________________________________________________________</w:t>
      </w:r>
    </w:p>
    <w:p w:rsidR="008E5851" w:rsidRDefault="008E5851">
      <w:pPr>
        <w:pStyle w:val="ConsPlusNormal"/>
        <w:ind w:firstLine="540"/>
        <w:jc w:val="both"/>
      </w:pPr>
    </w:p>
    <w:p w:rsidR="008E5851" w:rsidRDefault="008E5851">
      <w:pPr>
        <w:pStyle w:val="ConsPlusNormal"/>
        <w:ind w:firstLine="540"/>
        <w:jc w:val="both"/>
      </w:pPr>
    </w:p>
    <w:p w:rsidR="008E5851" w:rsidRDefault="008E5851">
      <w:pPr>
        <w:pStyle w:val="ConsPlusNormal"/>
        <w:pBdr>
          <w:top w:val="single" w:sz="6" w:space="0" w:color="auto"/>
        </w:pBdr>
        <w:spacing w:before="100" w:after="100"/>
        <w:jc w:val="both"/>
        <w:rPr>
          <w:sz w:val="2"/>
          <w:szCs w:val="2"/>
        </w:rPr>
      </w:pPr>
    </w:p>
    <w:p w:rsidR="00925682" w:rsidRDefault="00925682">
      <w:bookmarkStart w:id="11" w:name="_GoBack"/>
      <w:bookmarkEnd w:id="11"/>
    </w:p>
    <w:sectPr w:rsidR="00925682" w:rsidSect="00F65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51"/>
    <w:rsid w:val="008E5851"/>
    <w:rsid w:val="00925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5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5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85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5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5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8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4DA67907144A8E2F9C33A5A95177658000272869EEB9CE4ADA755CE18ED1E570C932E5F46A3kEC5P" TargetMode="External"/><Relationship Id="rId13" Type="http://schemas.openxmlformats.org/officeDocument/2006/relationships/hyperlink" Target="consultantplus://offline/ref=9864DA67907144A8E2F9DD374CF9497F5E025A778195E7C8BAF2FC089911E7491043CA64194BkAC1P" TargetMode="External"/><Relationship Id="rId18" Type="http://schemas.openxmlformats.org/officeDocument/2006/relationships/hyperlink" Target="consultantplus://offline/ref=9864DA67907144A8E2F9DD374CF9497F5E025A778195E7C8BAF2FC089911E7491043CA64194BkAC1P" TargetMode="External"/><Relationship Id="rId3" Type="http://schemas.openxmlformats.org/officeDocument/2006/relationships/settings" Target="settings.xml"/><Relationship Id="rId21" Type="http://schemas.openxmlformats.org/officeDocument/2006/relationships/hyperlink" Target="consultantplus://offline/ref=9864DA67907144A8E2F9DD374CF9497F5E025A778195E7C8BAF2FC089911E7491043CA64194BkAC1P" TargetMode="External"/><Relationship Id="rId7" Type="http://schemas.openxmlformats.org/officeDocument/2006/relationships/hyperlink" Target="consultantplus://offline/ref=9864DA67907144A8E2F9DD374CF9497F5E025A798893E7C8BAF2FC089911E7491043CA6C1848A6kEC0P" TargetMode="External"/><Relationship Id="rId12" Type="http://schemas.openxmlformats.org/officeDocument/2006/relationships/hyperlink" Target="consultantplus://offline/ref=9864DA67907144A8E2F9DD374CF9497F5E025A778195E7C8BAF2FC089911E7491043CA64194BkAC1P" TargetMode="External"/><Relationship Id="rId17" Type="http://schemas.openxmlformats.org/officeDocument/2006/relationships/hyperlink" Target="consultantplus://offline/ref=9864DA67907144A8E2F9C33A5A951776580002728996E497EFADA755CE18ED1E570C932E5F46A0E245D5A2k8CEP"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864DA67907144A8E2F9C33A5A951776580002728996E497EFADA755CE18ED1E570C932E5F46A0E245D5A2k8CEP" TargetMode="External"/><Relationship Id="rId20" Type="http://schemas.openxmlformats.org/officeDocument/2006/relationships/hyperlink" Target="consultantplus://offline/ref=9864DA67907144A8E2F9C33A5A951776580002728996E497EFADA755CE18ED1E570C932E5F46A0E245D5A1k8C8P" TargetMode="External"/><Relationship Id="rId1" Type="http://schemas.openxmlformats.org/officeDocument/2006/relationships/styles" Target="styles.xml"/><Relationship Id="rId6" Type="http://schemas.openxmlformats.org/officeDocument/2006/relationships/hyperlink" Target="consultantplus://offline/ref=9864DA67907144A8E2F9C33A5A951776580002728996E497EFADA755CE18ED1E570C932E5F46A0E245D5A3k8CFP" TargetMode="External"/><Relationship Id="rId11" Type="http://schemas.openxmlformats.org/officeDocument/2006/relationships/hyperlink" Target="consultantplus://offline/ref=9864DA67907144A8E2F9C33A5A951776580002728996E497EFADA755CE18ED1E570C932E5F46A0E245D5A2k8CCP"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9864DA67907144A8E2F9C33A5A951776580002728996E497EFADA755CE18ED1E570C932E5F46A0E245D5A2k8CEP" TargetMode="External"/><Relationship Id="rId23" Type="http://schemas.openxmlformats.org/officeDocument/2006/relationships/hyperlink" Target="consultantplus://offline/ref=9864DA67907144A8E2F9C33A5A951776580002728996E497EFADA755CE18ED1E570C932E5F46A0E245D5A1k8CCP" TargetMode="External"/><Relationship Id="rId10" Type="http://schemas.openxmlformats.org/officeDocument/2006/relationships/hyperlink" Target="consultantplus://offline/ref=9864DA67907144A8E2F9C33A5A951776580002728996E497EFADA755CE18ED1E570C932E5F46A0E245D5A2k8CAP" TargetMode="External"/><Relationship Id="rId19" Type="http://schemas.openxmlformats.org/officeDocument/2006/relationships/hyperlink" Target="consultantplus://offline/ref=9864DA67907144A8E2F9C33A5A951776580002728996E497EFADA755CE18ED1E570C932E5F46A0E245D5A1k8C9P" TargetMode="External"/><Relationship Id="rId4" Type="http://schemas.openxmlformats.org/officeDocument/2006/relationships/webSettings" Target="webSettings.xml"/><Relationship Id="rId9" Type="http://schemas.openxmlformats.org/officeDocument/2006/relationships/hyperlink" Target="consultantplus://offline/ref=9864DA67907144A8E2F9C33A5A951776580002728996E497EFADA755CE18ED1E570C932E5F46A0E245D5A2k8C8P" TargetMode="External"/><Relationship Id="rId14" Type="http://schemas.openxmlformats.org/officeDocument/2006/relationships/hyperlink" Target="consultantplus://offline/ref=9864DA67907144A8E2F9C33A5A951776580002728996E497EFADA755CE18ED1E570C932E5F46A0E245D5A2k8CFP" TargetMode="External"/><Relationship Id="rId22" Type="http://schemas.openxmlformats.org/officeDocument/2006/relationships/hyperlink" Target="consultantplus://offline/ref=9864DA67907144A8E2F9C33A5A951776580002728996E497EFADA755CE18ED1E570C932E5F46A0E245D5A1k8C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4222</Words>
  <Characters>24071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3900-01-275</dc:creator>
  <cp:lastModifiedBy>3900-01-275</cp:lastModifiedBy>
  <cp:revision>1</cp:revision>
  <dcterms:created xsi:type="dcterms:W3CDTF">2018-07-12T15:02:00Z</dcterms:created>
  <dcterms:modified xsi:type="dcterms:W3CDTF">2018-07-12T15:02:00Z</dcterms:modified>
</cp:coreProperties>
</file>